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5C9" w:rsidRPr="002608C4" w:rsidRDefault="009A55C9" w:rsidP="009A55C9">
      <w:pPr>
        <w:autoSpaceDE w:val="0"/>
        <w:autoSpaceDN w:val="0"/>
        <w:adjustRightInd w:val="0"/>
        <w:spacing w:after="0" w:line="240" w:lineRule="auto"/>
        <w:ind w:left="720"/>
        <w:jc w:val="center"/>
        <w:rPr>
          <w:rFonts w:ascii="Tms Rmn" w:hAnsi="Tms Rmn" w:cs="Tms Rmn"/>
          <w:i/>
          <w:iCs/>
          <w:color w:val="000000"/>
          <w:sz w:val="28"/>
          <w:szCs w:val="28"/>
        </w:rPr>
      </w:pPr>
      <w:bookmarkStart w:id="0" w:name="_GoBack"/>
      <w:bookmarkEnd w:id="0"/>
    </w:p>
    <w:p w:rsidR="009A55C9" w:rsidRDefault="009A55C9" w:rsidP="009A55C9">
      <w:pPr>
        <w:autoSpaceDE w:val="0"/>
        <w:autoSpaceDN w:val="0"/>
        <w:adjustRightInd w:val="0"/>
        <w:spacing w:before="240" w:after="0" w:line="240" w:lineRule="auto"/>
        <w:ind w:left="720"/>
        <w:jc w:val="center"/>
        <w:rPr>
          <w:rFonts w:ascii="Tms Rmn" w:hAnsi="Tms Rmn" w:cs="Tms Rmn"/>
          <w:color w:val="000000"/>
          <w:sz w:val="24"/>
          <w:szCs w:val="24"/>
        </w:rPr>
      </w:pPr>
      <w:r>
        <w:rPr>
          <w:rFonts w:ascii="Times New Roman" w:hAnsi="Times New Roman" w:cs="Times New Roman"/>
          <w:b/>
          <w:bCs/>
          <w:color w:val="212100"/>
          <w:sz w:val="24"/>
          <w:szCs w:val="24"/>
        </w:rPr>
        <w:t>___________________</w:t>
      </w:r>
      <w:r>
        <w:rPr>
          <w:rFonts w:ascii="Tms Rmn" w:hAnsi="Tms Rmn" w:cs="Tms Rmn"/>
          <w:color w:val="000000"/>
          <w:sz w:val="24"/>
          <w:szCs w:val="24"/>
        </w:rPr>
        <w:t xml:space="preserve"> </w:t>
      </w:r>
    </w:p>
    <w:p w:rsidR="009A55C9" w:rsidRDefault="009A55C9" w:rsidP="009A55C9">
      <w:pPr>
        <w:autoSpaceDE w:val="0"/>
        <w:autoSpaceDN w:val="0"/>
        <w:adjustRightInd w:val="0"/>
        <w:spacing w:before="240" w:after="0" w:line="240" w:lineRule="auto"/>
        <w:ind w:left="720"/>
        <w:jc w:val="center"/>
        <w:rPr>
          <w:rFonts w:ascii="Tms Rmn" w:hAnsi="Tms Rmn" w:cs="Tms Rmn"/>
          <w:color w:val="000000"/>
          <w:sz w:val="24"/>
          <w:szCs w:val="24"/>
        </w:rPr>
      </w:pPr>
      <w:r>
        <w:rPr>
          <w:rFonts w:ascii="Times New Roman" w:hAnsi="Times New Roman" w:cs="Times New Roman"/>
          <w:b/>
          <w:bCs/>
          <w:color w:val="212100"/>
          <w:sz w:val="24"/>
          <w:szCs w:val="24"/>
        </w:rPr>
        <w:t>Number X of 2014</w:t>
      </w:r>
      <w:r>
        <w:rPr>
          <w:rFonts w:ascii="Tms Rmn" w:hAnsi="Tms Rmn" w:cs="Tms Rmn"/>
          <w:color w:val="000000"/>
          <w:sz w:val="24"/>
          <w:szCs w:val="24"/>
        </w:rPr>
        <w:t xml:space="preserve"> </w:t>
      </w:r>
    </w:p>
    <w:p w:rsidR="009A55C9" w:rsidRDefault="009A55C9" w:rsidP="009A55C9">
      <w:pPr>
        <w:autoSpaceDE w:val="0"/>
        <w:autoSpaceDN w:val="0"/>
        <w:adjustRightInd w:val="0"/>
        <w:spacing w:before="240" w:after="0" w:line="240" w:lineRule="auto"/>
        <w:ind w:left="720"/>
        <w:jc w:val="center"/>
        <w:rPr>
          <w:rFonts w:ascii="Tms Rmn" w:hAnsi="Tms Rmn" w:cs="Tms Rmn"/>
          <w:color w:val="000000"/>
          <w:sz w:val="24"/>
          <w:szCs w:val="24"/>
        </w:rPr>
      </w:pPr>
      <w:r>
        <w:rPr>
          <w:rFonts w:ascii="Times New Roman" w:hAnsi="Times New Roman" w:cs="Times New Roman"/>
          <w:b/>
          <w:bCs/>
          <w:color w:val="212100"/>
          <w:sz w:val="24"/>
          <w:szCs w:val="24"/>
        </w:rPr>
        <w:t>_______________________</w:t>
      </w:r>
      <w:r>
        <w:rPr>
          <w:rFonts w:ascii="Tms Rmn" w:hAnsi="Tms Rmn" w:cs="Tms Rmn"/>
          <w:color w:val="000000"/>
          <w:sz w:val="24"/>
          <w:szCs w:val="24"/>
        </w:rPr>
        <w:t xml:space="preserve"> </w:t>
      </w:r>
    </w:p>
    <w:p w:rsidR="009A55C9" w:rsidRDefault="009A55C9" w:rsidP="009A55C9">
      <w:pPr>
        <w:autoSpaceDE w:val="0"/>
        <w:autoSpaceDN w:val="0"/>
        <w:adjustRightInd w:val="0"/>
        <w:spacing w:before="240" w:after="0" w:line="240" w:lineRule="auto"/>
        <w:ind w:left="720"/>
        <w:jc w:val="center"/>
        <w:rPr>
          <w:rFonts w:ascii="Times New Roman" w:hAnsi="Times New Roman" w:cs="Times New Roman"/>
          <w:b/>
          <w:bCs/>
          <w:color w:val="212100"/>
          <w:sz w:val="24"/>
          <w:szCs w:val="24"/>
        </w:rPr>
      </w:pPr>
      <w:r>
        <w:rPr>
          <w:rFonts w:ascii="Times New Roman" w:hAnsi="Times New Roman" w:cs="Times New Roman"/>
          <w:b/>
          <w:bCs/>
          <w:color w:val="212100"/>
          <w:sz w:val="24"/>
          <w:szCs w:val="24"/>
        </w:rPr>
        <w:t>THE MINISTERS AND SECRETARIES (AMENDMENT) BILL 2014</w:t>
      </w:r>
    </w:p>
    <w:p w:rsidR="009A55C9" w:rsidRDefault="009A55C9" w:rsidP="009A55C9">
      <w:pPr>
        <w:autoSpaceDE w:val="0"/>
        <w:autoSpaceDN w:val="0"/>
        <w:adjustRightInd w:val="0"/>
        <w:spacing w:before="240" w:after="0" w:line="240" w:lineRule="auto"/>
        <w:ind w:left="720"/>
        <w:rPr>
          <w:rFonts w:ascii="Times New Roman" w:hAnsi="Times New Roman" w:cs="Times New Roman"/>
          <w:b/>
          <w:bCs/>
          <w:color w:val="212100"/>
          <w:sz w:val="24"/>
          <w:szCs w:val="24"/>
        </w:rPr>
      </w:pPr>
    </w:p>
    <w:p w:rsidR="009A55C9" w:rsidRDefault="009A55C9" w:rsidP="009A55C9">
      <w:pPr>
        <w:autoSpaceDE w:val="0"/>
        <w:autoSpaceDN w:val="0"/>
        <w:adjustRightInd w:val="0"/>
        <w:spacing w:before="240" w:after="0" w:line="240" w:lineRule="auto"/>
        <w:ind w:left="720"/>
        <w:rPr>
          <w:rFonts w:ascii="Tms Rmn" w:hAnsi="Tms Rmn" w:cs="Tms Rmn"/>
          <w:color w:val="000000"/>
          <w:sz w:val="24"/>
          <w:szCs w:val="24"/>
        </w:rPr>
      </w:pPr>
      <w:r>
        <w:rPr>
          <w:rFonts w:ascii="Times New Roman" w:hAnsi="Times New Roman" w:cs="Times New Roman"/>
          <w:b/>
          <w:bCs/>
          <w:color w:val="212100"/>
          <w:sz w:val="24"/>
          <w:szCs w:val="24"/>
        </w:rPr>
        <w:t>ARRANGEMENT OF SECTIONS</w:t>
      </w:r>
      <w:r>
        <w:rPr>
          <w:rFonts w:ascii="Tms Rmn" w:hAnsi="Tms Rmn" w:cs="Tms Rmn"/>
          <w:color w:val="000000"/>
          <w:sz w:val="24"/>
          <w:szCs w:val="24"/>
        </w:rPr>
        <w:t xml:space="preserve"> </w:t>
      </w:r>
    </w:p>
    <w:p w:rsidR="009A55C9" w:rsidRDefault="009A55C9" w:rsidP="009A55C9">
      <w:pPr>
        <w:autoSpaceDE w:val="0"/>
        <w:autoSpaceDN w:val="0"/>
        <w:adjustRightInd w:val="0"/>
        <w:spacing w:before="240" w:after="0" w:line="240" w:lineRule="auto"/>
        <w:ind w:left="720"/>
        <w:rPr>
          <w:rFonts w:ascii="Tms Rmn" w:hAnsi="Tms Rmn" w:cs="Tms Rmn"/>
          <w:color w:val="000000"/>
          <w:sz w:val="24"/>
          <w:szCs w:val="24"/>
        </w:rPr>
      </w:pPr>
      <w:r>
        <w:rPr>
          <w:rFonts w:ascii="Times New Roman" w:hAnsi="Times New Roman" w:cs="Times New Roman"/>
          <w:color w:val="212100"/>
          <w:sz w:val="24"/>
          <w:szCs w:val="24"/>
        </w:rPr>
        <w:t>1. Interpretation</w:t>
      </w:r>
      <w:r>
        <w:rPr>
          <w:rFonts w:ascii="Tms Rmn" w:hAnsi="Tms Rmn" w:cs="Tms Rmn"/>
          <w:color w:val="000000"/>
          <w:sz w:val="24"/>
          <w:szCs w:val="24"/>
        </w:rPr>
        <w:t xml:space="preserve"> </w:t>
      </w:r>
    </w:p>
    <w:p w:rsidR="009A55C9" w:rsidRDefault="009A55C9" w:rsidP="009A55C9">
      <w:pPr>
        <w:autoSpaceDE w:val="0"/>
        <w:autoSpaceDN w:val="0"/>
        <w:adjustRightInd w:val="0"/>
        <w:spacing w:before="240" w:after="0" w:line="240" w:lineRule="auto"/>
        <w:ind w:left="720"/>
        <w:rPr>
          <w:rFonts w:ascii="Times New Roman" w:hAnsi="Times New Roman" w:cs="Times New Roman"/>
          <w:color w:val="212100"/>
          <w:sz w:val="24"/>
          <w:szCs w:val="24"/>
        </w:rPr>
      </w:pPr>
      <w:r>
        <w:rPr>
          <w:rFonts w:ascii="Times New Roman" w:hAnsi="Times New Roman" w:cs="Times New Roman"/>
          <w:color w:val="212100"/>
          <w:sz w:val="24"/>
          <w:szCs w:val="24"/>
        </w:rPr>
        <w:t xml:space="preserve">2. Ministerial expenditure ceiling programme reports </w:t>
      </w:r>
    </w:p>
    <w:p w:rsidR="009A55C9" w:rsidRDefault="009A55C9" w:rsidP="009A55C9">
      <w:pPr>
        <w:autoSpaceDE w:val="0"/>
        <w:autoSpaceDN w:val="0"/>
        <w:adjustRightInd w:val="0"/>
        <w:spacing w:before="240" w:after="0" w:line="240" w:lineRule="auto"/>
        <w:ind w:left="720"/>
        <w:rPr>
          <w:rFonts w:ascii="Times New Roman" w:hAnsi="Times New Roman" w:cs="Times New Roman"/>
          <w:color w:val="212100"/>
          <w:sz w:val="24"/>
          <w:szCs w:val="24"/>
        </w:rPr>
      </w:pPr>
      <w:r>
        <w:rPr>
          <w:rFonts w:ascii="Times New Roman" w:hAnsi="Times New Roman" w:cs="Times New Roman"/>
          <w:color w:val="212100"/>
          <w:sz w:val="24"/>
          <w:szCs w:val="24"/>
        </w:rPr>
        <w:t xml:space="preserve">3. Statement of fiscal risks </w:t>
      </w:r>
    </w:p>
    <w:p w:rsidR="009A55C9" w:rsidRDefault="009A55C9" w:rsidP="009A55C9">
      <w:pPr>
        <w:autoSpaceDE w:val="0"/>
        <w:autoSpaceDN w:val="0"/>
        <w:adjustRightInd w:val="0"/>
        <w:spacing w:before="240"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4. Transparency </w:t>
      </w:r>
    </w:p>
    <w:p w:rsidR="009A55C9" w:rsidRDefault="009A55C9" w:rsidP="009A55C9">
      <w:pPr>
        <w:autoSpaceDE w:val="0"/>
        <w:autoSpaceDN w:val="0"/>
        <w:adjustRightInd w:val="0"/>
        <w:spacing w:before="240" w:after="0" w:line="240" w:lineRule="auto"/>
        <w:ind w:left="720"/>
        <w:rPr>
          <w:rFonts w:ascii="Tms Rmn" w:hAnsi="Tms Rmn" w:cs="Tms Rmn"/>
          <w:color w:val="000000"/>
          <w:sz w:val="24"/>
          <w:szCs w:val="24"/>
        </w:rPr>
      </w:pPr>
      <w:r>
        <w:rPr>
          <w:rFonts w:ascii="Times New Roman" w:hAnsi="Times New Roman" w:cs="Times New Roman"/>
          <w:color w:val="212100"/>
          <w:sz w:val="24"/>
          <w:szCs w:val="24"/>
        </w:rPr>
        <w:t>5. Short title, commencement and collective citation.</w:t>
      </w:r>
      <w:r>
        <w:rPr>
          <w:rFonts w:ascii="Tms Rmn" w:hAnsi="Tms Rmn" w:cs="Tms Rmn"/>
          <w:color w:val="000000"/>
          <w:sz w:val="24"/>
          <w:szCs w:val="24"/>
        </w:rPr>
        <w:t xml:space="preserve"> </w:t>
      </w:r>
    </w:p>
    <w:p w:rsidR="009A55C9" w:rsidRDefault="009A55C9" w:rsidP="009A55C9">
      <w:pPr>
        <w:autoSpaceDE w:val="0"/>
        <w:autoSpaceDN w:val="0"/>
        <w:adjustRightInd w:val="0"/>
        <w:spacing w:before="240" w:after="0" w:line="240" w:lineRule="auto"/>
        <w:ind w:left="720"/>
        <w:jc w:val="center"/>
        <w:rPr>
          <w:rFonts w:ascii="Tms Rmn" w:hAnsi="Tms Rmn" w:cs="Tms Rmn"/>
          <w:color w:val="000000"/>
          <w:sz w:val="24"/>
          <w:szCs w:val="24"/>
        </w:rPr>
      </w:pPr>
    </w:p>
    <w:p w:rsidR="009A55C9" w:rsidRDefault="009A55C9" w:rsidP="009A55C9">
      <w:pPr>
        <w:autoSpaceDE w:val="0"/>
        <w:autoSpaceDN w:val="0"/>
        <w:adjustRightInd w:val="0"/>
        <w:spacing w:before="240" w:after="0" w:line="240" w:lineRule="auto"/>
        <w:ind w:left="720"/>
        <w:jc w:val="center"/>
        <w:rPr>
          <w:rFonts w:ascii="Tms Rmn" w:hAnsi="Tms Rmn" w:cs="Tms Rmn"/>
          <w:color w:val="000000"/>
          <w:sz w:val="24"/>
          <w:szCs w:val="24"/>
        </w:rPr>
      </w:pPr>
      <w:r>
        <w:rPr>
          <w:rFonts w:ascii="Times New Roman" w:hAnsi="Times New Roman" w:cs="Times New Roman"/>
          <w:b/>
          <w:bCs/>
          <w:color w:val="212100"/>
          <w:sz w:val="24"/>
          <w:szCs w:val="24"/>
        </w:rPr>
        <w:t>Acts Referred to</w:t>
      </w:r>
      <w:r>
        <w:rPr>
          <w:rFonts w:ascii="Tms Rmn" w:hAnsi="Tms Rmn" w:cs="Tms Rmn"/>
          <w:color w:val="000000"/>
          <w:sz w:val="24"/>
          <w:szCs w:val="24"/>
        </w:rPr>
        <w:t xml:space="preserve"> </w:t>
      </w:r>
    </w:p>
    <w:p w:rsidR="009A55C9" w:rsidRDefault="009A55C9" w:rsidP="009A55C9">
      <w:pPr>
        <w:autoSpaceDE w:val="0"/>
        <w:autoSpaceDN w:val="0"/>
        <w:adjustRightInd w:val="0"/>
        <w:spacing w:before="240" w:after="0" w:line="240" w:lineRule="auto"/>
        <w:ind w:left="720"/>
        <w:rPr>
          <w:rFonts w:ascii="Tms Rmn" w:hAnsi="Tms Rmn" w:cs="Tms Rmn"/>
          <w:color w:val="000000"/>
          <w:sz w:val="24"/>
          <w:szCs w:val="24"/>
        </w:rPr>
      </w:pPr>
    </w:p>
    <w:p w:rsidR="009A55C9" w:rsidRDefault="009A55C9" w:rsidP="009A55C9">
      <w:pPr>
        <w:autoSpaceDE w:val="0"/>
        <w:autoSpaceDN w:val="0"/>
        <w:adjustRightInd w:val="0"/>
        <w:spacing w:before="240" w:after="0" w:line="240" w:lineRule="auto"/>
        <w:ind w:left="720"/>
        <w:rPr>
          <w:rFonts w:ascii="Tms Rmn" w:hAnsi="Tms Rmn" w:cs="Tms Rmn"/>
          <w:color w:val="000000"/>
          <w:sz w:val="24"/>
          <w:szCs w:val="24"/>
        </w:rPr>
      </w:pPr>
      <w:r>
        <w:rPr>
          <w:rFonts w:ascii="Times New Roman" w:hAnsi="Times New Roman" w:cs="Times New Roman"/>
          <w:color w:val="212100"/>
          <w:sz w:val="24"/>
          <w:szCs w:val="24"/>
        </w:rPr>
        <w:t>Ministers and Secretaries (Amendment) Act 2011 2011 No.10</w:t>
      </w:r>
      <w:r>
        <w:rPr>
          <w:rFonts w:ascii="Tms Rmn" w:hAnsi="Tms Rmn" w:cs="Tms Rmn"/>
          <w:color w:val="000000"/>
          <w:sz w:val="24"/>
          <w:szCs w:val="24"/>
        </w:rPr>
        <w:t xml:space="preserve"> </w:t>
      </w:r>
    </w:p>
    <w:p w:rsidR="009A55C9" w:rsidRDefault="009A55C9" w:rsidP="009A55C9">
      <w:pPr>
        <w:autoSpaceDE w:val="0"/>
        <w:autoSpaceDN w:val="0"/>
        <w:adjustRightInd w:val="0"/>
        <w:spacing w:before="240" w:after="0" w:line="240" w:lineRule="auto"/>
        <w:ind w:left="720"/>
        <w:jc w:val="center"/>
        <w:rPr>
          <w:rFonts w:ascii="Times New Roman" w:hAnsi="Times New Roman" w:cs="Times New Roman"/>
          <w:b/>
          <w:bCs/>
          <w:color w:val="212100"/>
          <w:sz w:val="24"/>
          <w:szCs w:val="24"/>
        </w:rPr>
      </w:pPr>
    </w:p>
    <w:p w:rsidR="009A55C9" w:rsidRDefault="009A55C9" w:rsidP="009A55C9">
      <w:pPr>
        <w:autoSpaceDE w:val="0"/>
        <w:autoSpaceDN w:val="0"/>
        <w:adjustRightInd w:val="0"/>
        <w:spacing w:before="240" w:after="0" w:line="240" w:lineRule="auto"/>
        <w:ind w:left="720"/>
        <w:jc w:val="center"/>
        <w:rPr>
          <w:rFonts w:ascii="Times New Roman" w:hAnsi="Times New Roman" w:cs="Times New Roman"/>
          <w:b/>
          <w:bCs/>
          <w:color w:val="212100"/>
          <w:sz w:val="24"/>
          <w:szCs w:val="24"/>
        </w:rPr>
      </w:pPr>
    </w:p>
    <w:p w:rsidR="009A55C9" w:rsidRDefault="009A55C9" w:rsidP="009A55C9">
      <w:pPr>
        <w:autoSpaceDE w:val="0"/>
        <w:autoSpaceDN w:val="0"/>
        <w:adjustRightInd w:val="0"/>
        <w:spacing w:before="240" w:after="0" w:line="240" w:lineRule="auto"/>
        <w:ind w:left="720"/>
        <w:jc w:val="center"/>
        <w:rPr>
          <w:rFonts w:ascii="Times New Roman" w:hAnsi="Times New Roman" w:cs="Times New Roman"/>
          <w:b/>
          <w:bCs/>
          <w:color w:val="212100"/>
          <w:sz w:val="24"/>
          <w:szCs w:val="24"/>
        </w:rPr>
      </w:pPr>
    </w:p>
    <w:p w:rsidR="009A55C9" w:rsidRDefault="009A55C9" w:rsidP="009A55C9">
      <w:pPr>
        <w:autoSpaceDE w:val="0"/>
        <w:autoSpaceDN w:val="0"/>
        <w:adjustRightInd w:val="0"/>
        <w:spacing w:before="240" w:after="0" w:line="240" w:lineRule="auto"/>
        <w:ind w:left="720"/>
        <w:jc w:val="center"/>
        <w:rPr>
          <w:rFonts w:ascii="Times New Roman" w:hAnsi="Times New Roman" w:cs="Times New Roman"/>
          <w:b/>
          <w:bCs/>
          <w:color w:val="212100"/>
          <w:sz w:val="24"/>
          <w:szCs w:val="24"/>
        </w:rPr>
      </w:pPr>
    </w:p>
    <w:p w:rsidR="009A55C9" w:rsidRDefault="009A55C9" w:rsidP="009A55C9">
      <w:pPr>
        <w:autoSpaceDE w:val="0"/>
        <w:autoSpaceDN w:val="0"/>
        <w:adjustRightInd w:val="0"/>
        <w:spacing w:before="240" w:after="0" w:line="240" w:lineRule="auto"/>
        <w:ind w:left="720"/>
        <w:jc w:val="center"/>
        <w:rPr>
          <w:rFonts w:ascii="Times New Roman" w:hAnsi="Times New Roman" w:cs="Times New Roman"/>
          <w:b/>
          <w:bCs/>
          <w:color w:val="212100"/>
          <w:sz w:val="24"/>
          <w:szCs w:val="24"/>
        </w:rPr>
      </w:pPr>
    </w:p>
    <w:p w:rsidR="009A55C9" w:rsidRDefault="009A55C9" w:rsidP="009A55C9">
      <w:pPr>
        <w:autoSpaceDE w:val="0"/>
        <w:autoSpaceDN w:val="0"/>
        <w:adjustRightInd w:val="0"/>
        <w:spacing w:before="240" w:after="0" w:line="240" w:lineRule="auto"/>
        <w:ind w:left="720"/>
        <w:jc w:val="center"/>
        <w:rPr>
          <w:rFonts w:ascii="Times New Roman" w:hAnsi="Times New Roman" w:cs="Times New Roman"/>
          <w:b/>
          <w:bCs/>
          <w:color w:val="212100"/>
          <w:sz w:val="24"/>
          <w:szCs w:val="24"/>
        </w:rPr>
      </w:pPr>
    </w:p>
    <w:p w:rsidR="009A55C9" w:rsidRDefault="009A55C9" w:rsidP="009A55C9">
      <w:pPr>
        <w:autoSpaceDE w:val="0"/>
        <w:autoSpaceDN w:val="0"/>
        <w:adjustRightInd w:val="0"/>
        <w:spacing w:before="240" w:after="0" w:line="240" w:lineRule="auto"/>
        <w:ind w:left="720"/>
        <w:jc w:val="center"/>
        <w:rPr>
          <w:rFonts w:ascii="Times New Roman" w:hAnsi="Times New Roman" w:cs="Times New Roman"/>
          <w:b/>
          <w:bCs/>
          <w:color w:val="212100"/>
          <w:sz w:val="24"/>
          <w:szCs w:val="24"/>
        </w:rPr>
      </w:pPr>
    </w:p>
    <w:p w:rsidR="009A55C9" w:rsidRDefault="009A55C9" w:rsidP="009A55C9">
      <w:pPr>
        <w:autoSpaceDE w:val="0"/>
        <w:autoSpaceDN w:val="0"/>
        <w:adjustRightInd w:val="0"/>
        <w:spacing w:before="240" w:after="0" w:line="240" w:lineRule="auto"/>
        <w:ind w:left="720"/>
        <w:jc w:val="center"/>
        <w:rPr>
          <w:rFonts w:ascii="Times New Roman" w:hAnsi="Times New Roman" w:cs="Times New Roman"/>
          <w:b/>
          <w:bCs/>
          <w:color w:val="212100"/>
          <w:sz w:val="24"/>
          <w:szCs w:val="24"/>
        </w:rPr>
      </w:pPr>
    </w:p>
    <w:p w:rsidR="009A55C9" w:rsidRDefault="009A55C9" w:rsidP="009A55C9">
      <w:pPr>
        <w:autoSpaceDE w:val="0"/>
        <w:autoSpaceDN w:val="0"/>
        <w:adjustRightInd w:val="0"/>
        <w:spacing w:before="240" w:after="0" w:line="240" w:lineRule="auto"/>
        <w:ind w:left="720"/>
        <w:jc w:val="center"/>
        <w:rPr>
          <w:rFonts w:ascii="Times New Roman" w:hAnsi="Times New Roman" w:cs="Times New Roman"/>
          <w:b/>
          <w:bCs/>
          <w:color w:val="212100"/>
          <w:sz w:val="24"/>
          <w:szCs w:val="24"/>
        </w:rPr>
      </w:pPr>
    </w:p>
    <w:p w:rsidR="009A55C9" w:rsidRDefault="009A55C9" w:rsidP="009A55C9">
      <w:pPr>
        <w:autoSpaceDE w:val="0"/>
        <w:autoSpaceDN w:val="0"/>
        <w:adjustRightInd w:val="0"/>
        <w:spacing w:before="240" w:after="0" w:line="240" w:lineRule="auto"/>
        <w:ind w:left="720"/>
        <w:jc w:val="center"/>
        <w:rPr>
          <w:rFonts w:ascii="Times New Roman" w:hAnsi="Times New Roman" w:cs="Times New Roman"/>
          <w:b/>
          <w:bCs/>
          <w:color w:val="212100"/>
          <w:sz w:val="24"/>
          <w:szCs w:val="24"/>
        </w:rPr>
      </w:pPr>
    </w:p>
    <w:p w:rsidR="009A55C9" w:rsidRDefault="009A55C9" w:rsidP="009A55C9">
      <w:pPr>
        <w:autoSpaceDE w:val="0"/>
        <w:autoSpaceDN w:val="0"/>
        <w:adjustRightInd w:val="0"/>
        <w:spacing w:before="240" w:after="0" w:line="240" w:lineRule="auto"/>
        <w:ind w:left="720"/>
        <w:jc w:val="center"/>
        <w:rPr>
          <w:rFonts w:ascii="Times New Roman" w:hAnsi="Times New Roman" w:cs="Times New Roman"/>
          <w:b/>
          <w:bCs/>
          <w:color w:val="212100"/>
          <w:sz w:val="24"/>
          <w:szCs w:val="24"/>
        </w:rPr>
      </w:pPr>
    </w:p>
    <w:p w:rsidR="009A55C9" w:rsidRDefault="009A55C9" w:rsidP="009A55C9">
      <w:pPr>
        <w:autoSpaceDE w:val="0"/>
        <w:autoSpaceDN w:val="0"/>
        <w:adjustRightInd w:val="0"/>
        <w:spacing w:before="240" w:after="0" w:line="240" w:lineRule="auto"/>
        <w:ind w:left="720"/>
        <w:jc w:val="center"/>
        <w:rPr>
          <w:rFonts w:ascii="Tms Rmn" w:hAnsi="Tms Rmn" w:cs="Tms Rmn"/>
          <w:color w:val="000000"/>
          <w:sz w:val="24"/>
          <w:szCs w:val="24"/>
        </w:rPr>
      </w:pPr>
      <w:r>
        <w:rPr>
          <w:rFonts w:ascii="Times New Roman" w:hAnsi="Times New Roman" w:cs="Times New Roman"/>
          <w:b/>
          <w:bCs/>
          <w:color w:val="212100"/>
          <w:sz w:val="24"/>
          <w:szCs w:val="24"/>
        </w:rPr>
        <w:lastRenderedPageBreak/>
        <w:br/>
        <w:t>_______________________</w:t>
      </w:r>
      <w:r>
        <w:rPr>
          <w:rFonts w:ascii="Tms Rmn" w:hAnsi="Tms Rmn" w:cs="Tms Rmn"/>
          <w:color w:val="000000"/>
          <w:sz w:val="24"/>
          <w:szCs w:val="24"/>
        </w:rPr>
        <w:t xml:space="preserve"> </w:t>
      </w:r>
    </w:p>
    <w:p w:rsidR="009A55C9" w:rsidRDefault="009A55C9" w:rsidP="009A55C9">
      <w:pPr>
        <w:autoSpaceDE w:val="0"/>
        <w:autoSpaceDN w:val="0"/>
        <w:adjustRightInd w:val="0"/>
        <w:spacing w:before="240" w:after="0" w:line="240" w:lineRule="auto"/>
        <w:ind w:left="720"/>
        <w:jc w:val="center"/>
        <w:rPr>
          <w:rFonts w:ascii="Tms Rmn" w:hAnsi="Tms Rmn" w:cs="Tms Rmn"/>
          <w:color w:val="000000"/>
          <w:sz w:val="24"/>
          <w:szCs w:val="24"/>
        </w:rPr>
      </w:pPr>
      <w:r>
        <w:rPr>
          <w:rFonts w:ascii="Times New Roman" w:hAnsi="Times New Roman" w:cs="Times New Roman"/>
          <w:b/>
          <w:bCs/>
          <w:color w:val="212100"/>
          <w:sz w:val="24"/>
          <w:szCs w:val="24"/>
        </w:rPr>
        <w:t>Number X of 2014</w:t>
      </w:r>
      <w:r>
        <w:rPr>
          <w:rFonts w:ascii="Tms Rmn" w:hAnsi="Tms Rmn" w:cs="Tms Rmn"/>
          <w:color w:val="000000"/>
          <w:sz w:val="24"/>
          <w:szCs w:val="24"/>
        </w:rPr>
        <w:t xml:space="preserve"> </w:t>
      </w:r>
    </w:p>
    <w:p w:rsidR="009A55C9" w:rsidRDefault="009A55C9" w:rsidP="009A55C9">
      <w:pPr>
        <w:autoSpaceDE w:val="0"/>
        <w:autoSpaceDN w:val="0"/>
        <w:adjustRightInd w:val="0"/>
        <w:spacing w:before="240" w:after="0" w:line="240" w:lineRule="auto"/>
        <w:ind w:left="720"/>
        <w:jc w:val="center"/>
        <w:rPr>
          <w:rFonts w:ascii="Tms Rmn" w:hAnsi="Tms Rmn" w:cs="Tms Rmn"/>
          <w:color w:val="000000"/>
          <w:sz w:val="24"/>
          <w:szCs w:val="24"/>
        </w:rPr>
      </w:pPr>
      <w:r>
        <w:rPr>
          <w:rFonts w:ascii="Times New Roman" w:hAnsi="Times New Roman" w:cs="Times New Roman"/>
          <w:b/>
          <w:bCs/>
          <w:color w:val="212100"/>
          <w:sz w:val="24"/>
          <w:szCs w:val="24"/>
        </w:rPr>
        <w:t>_______________________</w:t>
      </w:r>
      <w:r>
        <w:rPr>
          <w:rFonts w:ascii="Tms Rmn" w:hAnsi="Tms Rmn" w:cs="Tms Rmn"/>
          <w:color w:val="000000"/>
          <w:sz w:val="24"/>
          <w:szCs w:val="24"/>
        </w:rPr>
        <w:t xml:space="preserve"> </w:t>
      </w:r>
    </w:p>
    <w:p w:rsidR="009A55C9" w:rsidRDefault="009A55C9" w:rsidP="009A55C9">
      <w:pPr>
        <w:autoSpaceDE w:val="0"/>
        <w:autoSpaceDN w:val="0"/>
        <w:adjustRightInd w:val="0"/>
        <w:spacing w:before="240" w:after="0" w:line="240" w:lineRule="auto"/>
        <w:ind w:left="720"/>
        <w:jc w:val="center"/>
        <w:rPr>
          <w:rFonts w:ascii="Times New Roman" w:hAnsi="Times New Roman" w:cs="Times New Roman"/>
          <w:b/>
          <w:bCs/>
          <w:color w:val="212100"/>
          <w:sz w:val="24"/>
          <w:szCs w:val="24"/>
        </w:rPr>
      </w:pPr>
      <w:r>
        <w:rPr>
          <w:rFonts w:ascii="Times New Roman" w:hAnsi="Times New Roman" w:cs="Times New Roman"/>
          <w:b/>
          <w:bCs/>
          <w:color w:val="212100"/>
          <w:sz w:val="24"/>
          <w:szCs w:val="24"/>
        </w:rPr>
        <w:t>THE MINISTERS AND SECRETARIES (AMENDMENT) BILL 2014</w:t>
      </w:r>
    </w:p>
    <w:p w:rsidR="009A55C9" w:rsidRDefault="009A55C9" w:rsidP="009A55C9">
      <w:pPr>
        <w:autoSpaceDE w:val="0"/>
        <w:autoSpaceDN w:val="0"/>
        <w:adjustRightInd w:val="0"/>
        <w:spacing w:before="240" w:after="0" w:line="240" w:lineRule="auto"/>
        <w:ind w:left="720"/>
        <w:rPr>
          <w:rFonts w:ascii="Times New Roman" w:hAnsi="Times New Roman" w:cs="Times New Roman"/>
          <w:b/>
          <w:bCs/>
          <w:color w:val="212100"/>
          <w:sz w:val="24"/>
          <w:szCs w:val="24"/>
        </w:rPr>
      </w:pPr>
    </w:p>
    <w:p w:rsidR="009A55C9" w:rsidRDefault="009A55C9" w:rsidP="009A55C9">
      <w:pPr>
        <w:pBdr>
          <w:bottom w:val="single" w:sz="6" w:space="1" w:color="auto"/>
        </w:pBdr>
        <w:autoSpaceDE w:val="0"/>
        <w:autoSpaceDN w:val="0"/>
        <w:adjustRightInd w:val="0"/>
        <w:spacing w:after="0" w:line="240" w:lineRule="auto"/>
        <w:ind w:left="720"/>
        <w:jc w:val="center"/>
        <w:rPr>
          <w:rFonts w:ascii="Times New Roman" w:hAnsi="Times New Roman" w:cs="Times New Roman"/>
          <w:b/>
          <w:bCs/>
          <w:color w:val="212100"/>
          <w:sz w:val="24"/>
          <w:szCs w:val="24"/>
        </w:rPr>
      </w:pPr>
    </w:p>
    <w:p w:rsidR="009A55C9" w:rsidRDefault="009A55C9" w:rsidP="009A55C9">
      <w:pPr>
        <w:autoSpaceDE w:val="0"/>
        <w:autoSpaceDN w:val="0"/>
        <w:adjustRightInd w:val="0"/>
        <w:spacing w:before="240" w:after="0" w:line="240" w:lineRule="auto"/>
        <w:ind w:left="720"/>
        <w:jc w:val="center"/>
        <w:rPr>
          <w:rFonts w:ascii="Times New Roman" w:hAnsi="Times New Roman" w:cs="Times New Roman"/>
          <w:b/>
          <w:bCs/>
          <w:color w:val="212100"/>
          <w:sz w:val="24"/>
          <w:szCs w:val="24"/>
        </w:rPr>
      </w:pPr>
    </w:p>
    <w:p w:rsidR="009A55C9" w:rsidRDefault="009A55C9" w:rsidP="009A55C9">
      <w:pPr>
        <w:autoSpaceDE w:val="0"/>
        <w:autoSpaceDN w:val="0"/>
        <w:adjustRightInd w:val="0"/>
        <w:spacing w:before="240" w:after="0" w:line="240" w:lineRule="auto"/>
        <w:ind w:left="720"/>
        <w:jc w:val="center"/>
        <w:rPr>
          <w:rFonts w:ascii="Times New Roman" w:hAnsi="Times New Roman" w:cs="Times New Roman"/>
          <w:b/>
          <w:bCs/>
          <w:color w:val="212100"/>
          <w:sz w:val="24"/>
          <w:szCs w:val="24"/>
        </w:rPr>
      </w:pPr>
    </w:p>
    <w:p w:rsidR="009A55C9" w:rsidRDefault="009A55C9" w:rsidP="009A55C9">
      <w:pPr>
        <w:autoSpaceDE w:val="0"/>
        <w:autoSpaceDN w:val="0"/>
        <w:adjustRightInd w:val="0"/>
        <w:spacing w:before="240" w:after="0" w:line="240" w:lineRule="auto"/>
        <w:ind w:left="720"/>
        <w:rPr>
          <w:rFonts w:ascii="Times New Roman" w:hAnsi="Times New Roman" w:cs="Times New Roman"/>
          <w:b/>
          <w:bCs/>
          <w:color w:val="212100"/>
          <w:sz w:val="24"/>
          <w:szCs w:val="24"/>
        </w:rPr>
      </w:pPr>
      <w:r>
        <w:rPr>
          <w:rFonts w:ascii="Times New Roman" w:hAnsi="Times New Roman" w:cs="Times New Roman"/>
          <w:b/>
          <w:bCs/>
          <w:color w:val="212100"/>
          <w:sz w:val="24"/>
          <w:szCs w:val="24"/>
        </w:rPr>
        <w:t>AN ACT TO MAKE PROVISION FOR ANNUAL MINISTERIAL EXPENDITURE CEILING PROGRAMME REPORTS AND AN ANNUAL STATEMENT OF FINANCIAL RISKS IN ORDER TO INCREASE TRANSPARENCY IN THE SPECIFICATION OF PROGRAMMES AND TO PROVIDE FOR MEASURABLE TARGET OUTCOMES INTENDED TO BE DELIVERED WITHIN MINISTERIAL EXPENDITURE CEILINGS, TO IMPROVE TRANSPARENCY OF GOVERNMENT IN THE MANAGEMENT OF THE FINANCIAL RISKS TO THE STATE, TO AMEND THE MINISTERS AND SECRETARIES (AMENDMENT) ACT 2011 AND TO PROVIDE FOR RELATED MATTERS.</w:t>
      </w:r>
    </w:p>
    <w:p w:rsidR="009A55C9" w:rsidRDefault="009A55C9" w:rsidP="009A55C9">
      <w:pPr>
        <w:autoSpaceDE w:val="0"/>
        <w:autoSpaceDN w:val="0"/>
        <w:adjustRightInd w:val="0"/>
        <w:spacing w:before="240" w:after="0" w:line="240" w:lineRule="auto"/>
        <w:ind w:left="720"/>
        <w:jc w:val="center"/>
        <w:rPr>
          <w:rFonts w:ascii="Times New Roman" w:hAnsi="Times New Roman" w:cs="Times New Roman"/>
          <w:b/>
          <w:bCs/>
          <w:color w:val="212100"/>
          <w:sz w:val="24"/>
          <w:szCs w:val="24"/>
        </w:rPr>
      </w:pPr>
    </w:p>
    <w:p w:rsidR="009A55C9" w:rsidRDefault="009A55C9" w:rsidP="009A55C9">
      <w:pPr>
        <w:autoSpaceDE w:val="0"/>
        <w:autoSpaceDN w:val="0"/>
        <w:adjustRightInd w:val="0"/>
        <w:spacing w:before="240" w:after="0" w:line="240" w:lineRule="auto"/>
        <w:ind w:left="720"/>
        <w:jc w:val="center"/>
        <w:rPr>
          <w:rFonts w:ascii="Times New Roman" w:hAnsi="Times New Roman" w:cs="Times New Roman"/>
          <w:b/>
          <w:bCs/>
          <w:color w:val="212100"/>
          <w:sz w:val="24"/>
          <w:szCs w:val="24"/>
        </w:rPr>
      </w:pPr>
    </w:p>
    <w:p w:rsidR="009A55C9" w:rsidRDefault="009A55C9" w:rsidP="009A55C9">
      <w:pPr>
        <w:autoSpaceDE w:val="0"/>
        <w:autoSpaceDN w:val="0"/>
        <w:adjustRightInd w:val="0"/>
        <w:spacing w:before="240" w:after="0" w:line="240" w:lineRule="auto"/>
        <w:ind w:left="720"/>
        <w:jc w:val="center"/>
        <w:rPr>
          <w:rFonts w:ascii="Times New Roman" w:hAnsi="Times New Roman" w:cs="Times New Roman"/>
          <w:b/>
          <w:bCs/>
          <w:color w:val="212100"/>
          <w:sz w:val="24"/>
          <w:szCs w:val="24"/>
        </w:rPr>
      </w:pPr>
    </w:p>
    <w:p w:rsidR="009A55C9" w:rsidRDefault="009A55C9" w:rsidP="009A55C9">
      <w:pPr>
        <w:autoSpaceDE w:val="0"/>
        <w:autoSpaceDN w:val="0"/>
        <w:adjustRightInd w:val="0"/>
        <w:spacing w:before="240" w:after="0" w:line="240" w:lineRule="auto"/>
        <w:ind w:left="720"/>
        <w:jc w:val="center"/>
        <w:rPr>
          <w:rFonts w:ascii="Times New Roman" w:hAnsi="Times New Roman" w:cs="Times New Roman"/>
          <w:b/>
          <w:bCs/>
          <w:color w:val="212100"/>
          <w:sz w:val="24"/>
          <w:szCs w:val="24"/>
        </w:rPr>
      </w:pPr>
    </w:p>
    <w:p w:rsidR="009A55C9" w:rsidRDefault="009A55C9" w:rsidP="009A55C9">
      <w:pPr>
        <w:autoSpaceDE w:val="0"/>
        <w:autoSpaceDN w:val="0"/>
        <w:adjustRightInd w:val="0"/>
        <w:spacing w:before="240" w:after="0" w:line="240" w:lineRule="auto"/>
        <w:ind w:left="720"/>
        <w:jc w:val="center"/>
        <w:rPr>
          <w:rFonts w:ascii="Times New Roman" w:hAnsi="Times New Roman" w:cs="Times New Roman"/>
          <w:b/>
          <w:bCs/>
          <w:color w:val="212100"/>
          <w:sz w:val="24"/>
          <w:szCs w:val="24"/>
        </w:rPr>
      </w:pPr>
    </w:p>
    <w:p w:rsidR="009A55C9" w:rsidRDefault="009A55C9" w:rsidP="009A55C9">
      <w:pPr>
        <w:autoSpaceDE w:val="0"/>
        <w:autoSpaceDN w:val="0"/>
        <w:adjustRightInd w:val="0"/>
        <w:spacing w:before="240" w:after="0" w:line="240" w:lineRule="auto"/>
        <w:ind w:left="720"/>
        <w:jc w:val="center"/>
        <w:rPr>
          <w:rFonts w:ascii="Times New Roman" w:hAnsi="Times New Roman" w:cs="Times New Roman"/>
          <w:b/>
          <w:bCs/>
          <w:color w:val="212100"/>
          <w:sz w:val="24"/>
          <w:szCs w:val="24"/>
        </w:rPr>
      </w:pPr>
    </w:p>
    <w:p w:rsidR="009A55C9" w:rsidRDefault="009A55C9" w:rsidP="009A55C9">
      <w:pPr>
        <w:autoSpaceDE w:val="0"/>
        <w:autoSpaceDN w:val="0"/>
        <w:adjustRightInd w:val="0"/>
        <w:spacing w:before="240" w:after="0" w:line="240" w:lineRule="auto"/>
        <w:ind w:left="720"/>
        <w:jc w:val="center"/>
        <w:rPr>
          <w:rFonts w:ascii="Times New Roman" w:hAnsi="Times New Roman" w:cs="Times New Roman"/>
          <w:b/>
          <w:bCs/>
          <w:color w:val="212100"/>
          <w:sz w:val="24"/>
          <w:szCs w:val="24"/>
        </w:rPr>
      </w:pPr>
    </w:p>
    <w:p w:rsidR="009A55C9" w:rsidRDefault="009A55C9" w:rsidP="009A55C9">
      <w:pPr>
        <w:autoSpaceDE w:val="0"/>
        <w:autoSpaceDN w:val="0"/>
        <w:adjustRightInd w:val="0"/>
        <w:spacing w:before="240" w:after="0" w:line="240" w:lineRule="auto"/>
        <w:ind w:left="720"/>
        <w:jc w:val="center"/>
        <w:rPr>
          <w:rFonts w:ascii="Times New Roman" w:hAnsi="Times New Roman" w:cs="Times New Roman"/>
          <w:b/>
          <w:bCs/>
          <w:color w:val="212100"/>
          <w:sz w:val="24"/>
          <w:szCs w:val="24"/>
        </w:rPr>
      </w:pPr>
    </w:p>
    <w:p w:rsidR="009A55C9" w:rsidRDefault="009A55C9" w:rsidP="009A55C9">
      <w:pPr>
        <w:autoSpaceDE w:val="0"/>
        <w:autoSpaceDN w:val="0"/>
        <w:adjustRightInd w:val="0"/>
        <w:spacing w:before="240" w:after="0" w:line="240" w:lineRule="auto"/>
        <w:ind w:left="720"/>
        <w:jc w:val="center"/>
        <w:rPr>
          <w:rFonts w:ascii="Times New Roman" w:hAnsi="Times New Roman" w:cs="Times New Roman"/>
          <w:b/>
          <w:bCs/>
          <w:color w:val="212100"/>
          <w:sz w:val="24"/>
          <w:szCs w:val="24"/>
        </w:rPr>
      </w:pPr>
    </w:p>
    <w:p w:rsidR="009A55C9" w:rsidRDefault="009A55C9" w:rsidP="009A55C9">
      <w:pPr>
        <w:autoSpaceDE w:val="0"/>
        <w:autoSpaceDN w:val="0"/>
        <w:adjustRightInd w:val="0"/>
        <w:spacing w:before="240" w:after="0" w:line="240" w:lineRule="auto"/>
        <w:ind w:left="720"/>
        <w:jc w:val="center"/>
        <w:rPr>
          <w:rFonts w:ascii="Times New Roman" w:hAnsi="Times New Roman" w:cs="Times New Roman"/>
          <w:b/>
          <w:bCs/>
          <w:color w:val="212100"/>
          <w:sz w:val="24"/>
          <w:szCs w:val="24"/>
        </w:rPr>
      </w:pPr>
    </w:p>
    <w:p w:rsidR="009A55C9" w:rsidRDefault="009A55C9" w:rsidP="009A55C9">
      <w:pPr>
        <w:autoSpaceDE w:val="0"/>
        <w:autoSpaceDN w:val="0"/>
        <w:adjustRightInd w:val="0"/>
        <w:spacing w:before="240" w:after="0" w:line="240" w:lineRule="auto"/>
        <w:ind w:left="720"/>
        <w:jc w:val="center"/>
        <w:rPr>
          <w:rFonts w:ascii="Times New Roman" w:hAnsi="Times New Roman" w:cs="Times New Roman"/>
          <w:b/>
          <w:bCs/>
          <w:color w:val="212100"/>
          <w:sz w:val="24"/>
          <w:szCs w:val="24"/>
        </w:rPr>
      </w:pPr>
    </w:p>
    <w:p w:rsidR="009A55C9" w:rsidRDefault="009A55C9" w:rsidP="009A55C9">
      <w:pPr>
        <w:autoSpaceDE w:val="0"/>
        <w:autoSpaceDN w:val="0"/>
        <w:adjustRightInd w:val="0"/>
        <w:spacing w:before="240" w:after="0" w:line="240" w:lineRule="auto"/>
        <w:ind w:left="720"/>
        <w:jc w:val="center"/>
        <w:rPr>
          <w:rFonts w:ascii="Times New Roman" w:hAnsi="Times New Roman" w:cs="Times New Roman"/>
          <w:b/>
          <w:bCs/>
          <w:color w:val="212100"/>
          <w:sz w:val="24"/>
          <w:szCs w:val="24"/>
        </w:rPr>
      </w:pPr>
    </w:p>
    <w:p w:rsidR="009A55C9" w:rsidRDefault="009A55C9" w:rsidP="009A55C9">
      <w:pPr>
        <w:autoSpaceDE w:val="0"/>
        <w:autoSpaceDN w:val="0"/>
        <w:adjustRightInd w:val="0"/>
        <w:spacing w:before="240" w:after="0" w:line="240" w:lineRule="auto"/>
        <w:ind w:left="720"/>
        <w:jc w:val="center"/>
        <w:rPr>
          <w:rFonts w:ascii="Times New Roman" w:hAnsi="Times New Roman" w:cs="Times New Roman"/>
          <w:b/>
          <w:bCs/>
          <w:color w:val="212100"/>
          <w:sz w:val="24"/>
          <w:szCs w:val="24"/>
        </w:rPr>
      </w:pPr>
    </w:p>
    <w:p w:rsidR="009A55C9" w:rsidRDefault="009A55C9" w:rsidP="009A55C9">
      <w:pPr>
        <w:autoSpaceDE w:val="0"/>
        <w:autoSpaceDN w:val="0"/>
        <w:adjustRightInd w:val="0"/>
        <w:spacing w:before="240" w:after="0" w:line="240" w:lineRule="auto"/>
        <w:ind w:left="720"/>
        <w:jc w:val="center"/>
        <w:rPr>
          <w:rFonts w:ascii="Times New Roman" w:hAnsi="Times New Roman" w:cs="Times New Roman"/>
          <w:b/>
          <w:bCs/>
          <w:color w:val="212100"/>
          <w:sz w:val="24"/>
          <w:szCs w:val="24"/>
        </w:rPr>
      </w:pPr>
      <w:r>
        <w:rPr>
          <w:rFonts w:ascii="Times New Roman" w:hAnsi="Times New Roman" w:cs="Times New Roman"/>
          <w:b/>
          <w:bCs/>
          <w:color w:val="212100"/>
          <w:sz w:val="24"/>
          <w:szCs w:val="24"/>
        </w:rPr>
        <w:lastRenderedPageBreak/>
        <w:t>BE IT ENACTED BY THE OIREACHTAS AS FOLLOWS:</w:t>
      </w:r>
    </w:p>
    <w:p w:rsidR="009A55C9" w:rsidRDefault="009A55C9" w:rsidP="009A55C9">
      <w:pPr>
        <w:autoSpaceDE w:val="0"/>
        <w:autoSpaceDN w:val="0"/>
        <w:adjustRightInd w:val="0"/>
        <w:spacing w:before="240" w:after="0" w:line="240" w:lineRule="auto"/>
        <w:ind w:left="720"/>
        <w:rPr>
          <w:rFonts w:ascii="Times New Roman" w:hAnsi="Times New Roman" w:cs="Times New Roman"/>
          <w:b/>
          <w:bCs/>
          <w:color w:val="212100"/>
          <w:sz w:val="24"/>
          <w:szCs w:val="24"/>
        </w:rPr>
      </w:pPr>
    </w:p>
    <w:p w:rsidR="009A55C9" w:rsidRDefault="009A55C9" w:rsidP="009A55C9">
      <w:pPr>
        <w:autoSpaceDE w:val="0"/>
        <w:autoSpaceDN w:val="0"/>
        <w:adjustRightInd w:val="0"/>
        <w:spacing w:before="240" w:after="0" w:line="240" w:lineRule="auto"/>
        <w:ind w:left="720"/>
        <w:rPr>
          <w:rFonts w:ascii="Times New Roman" w:hAnsi="Times New Roman" w:cs="Times New Roman"/>
          <w:i/>
          <w:iCs/>
          <w:color w:val="212100"/>
          <w:sz w:val="24"/>
          <w:szCs w:val="24"/>
        </w:rPr>
      </w:pPr>
      <w:r>
        <w:rPr>
          <w:rFonts w:ascii="Times New Roman" w:hAnsi="Times New Roman" w:cs="Times New Roman"/>
          <w:i/>
          <w:iCs/>
          <w:color w:val="212100"/>
          <w:sz w:val="24"/>
          <w:szCs w:val="24"/>
        </w:rPr>
        <w:t xml:space="preserve">Interpretation </w:t>
      </w:r>
    </w:p>
    <w:p w:rsidR="009A55C9" w:rsidRDefault="009A55C9" w:rsidP="009A55C9">
      <w:pPr>
        <w:autoSpaceDE w:val="0"/>
        <w:autoSpaceDN w:val="0"/>
        <w:adjustRightInd w:val="0"/>
        <w:spacing w:before="240" w:after="0" w:line="240" w:lineRule="auto"/>
        <w:ind w:left="720"/>
        <w:rPr>
          <w:rFonts w:ascii="Tms Rmn" w:hAnsi="Tms Rmn" w:cs="Tms Rmn"/>
          <w:color w:val="000000"/>
          <w:sz w:val="24"/>
          <w:szCs w:val="24"/>
        </w:rPr>
      </w:pPr>
      <w:r>
        <w:rPr>
          <w:rFonts w:ascii="Times New Roman" w:hAnsi="Times New Roman" w:cs="Times New Roman"/>
          <w:color w:val="212100"/>
          <w:sz w:val="24"/>
          <w:szCs w:val="24"/>
        </w:rPr>
        <w:t>1. —Section 2 of the Ministers and Secretaries (Amendment) Act 2011 is amended:</w:t>
      </w:r>
      <w:r>
        <w:rPr>
          <w:rFonts w:ascii="Tms Rmn" w:hAnsi="Tms Rmn" w:cs="Tms Rmn"/>
          <w:color w:val="000000"/>
          <w:sz w:val="24"/>
          <w:szCs w:val="24"/>
        </w:rPr>
        <w:t xml:space="preserve"> </w:t>
      </w:r>
    </w:p>
    <w:p w:rsidR="009A55C9" w:rsidRDefault="009A55C9" w:rsidP="009A55C9">
      <w:pPr>
        <w:autoSpaceDE w:val="0"/>
        <w:autoSpaceDN w:val="0"/>
        <w:adjustRightInd w:val="0"/>
        <w:spacing w:before="240" w:after="0" w:line="240" w:lineRule="auto"/>
        <w:ind w:left="2160"/>
        <w:rPr>
          <w:rFonts w:ascii="Tms Rmn" w:hAnsi="Tms Rmn" w:cs="Tms Rmn"/>
          <w:color w:val="000000"/>
          <w:sz w:val="24"/>
          <w:szCs w:val="24"/>
        </w:rPr>
      </w:pPr>
      <w:r>
        <w:rPr>
          <w:rFonts w:ascii="Times New Roman" w:hAnsi="Times New Roman" w:cs="Times New Roman"/>
          <w:color w:val="000000"/>
          <w:sz w:val="24"/>
          <w:szCs w:val="24"/>
        </w:rPr>
        <w:t xml:space="preserve">(a) </w:t>
      </w:r>
      <w:proofErr w:type="gramStart"/>
      <w:r>
        <w:rPr>
          <w:rFonts w:ascii="Times New Roman" w:hAnsi="Times New Roman" w:cs="Times New Roman"/>
          <w:color w:val="212100"/>
          <w:sz w:val="24"/>
          <w:szCs w:val="24"/>
        </w:rPr>
        <w:t>by</w:t>
      </w:r>
      <w:proofErr w:type="gramEnd"/>
      <w:r>
        <w:rPr>
          <w:rFonts w:ascii="Times New Roman" w:hAnsi="Times New Roman" w:cs="Times New Roman"/>
          <w:color w:val="212100"/>
          <w:sz w:val="24"/>
          <w:szCs w:val="24"/>
        </w:rPr>
        <w:t xml:space="preserve"> inserting the following definitions after the definition of “appointed day”:</w:t>
      </w:r>
      <w:r>
        <w:rPr>
          <w:rFonts w:ascii="Tms Rmn" w:hAnsi="Tms Rmn" w:cs="Tms Rmn"/>
          <w:color w:val="000000"/>
          <w:sz w:val="24"/>
          <w:szCs w:val="24"/>
        </w:rPr>
        <w:t xml:space="preserve"> </w:t>
      </w:r>
    </w:p>
    <w:p w:rsidR="009A55C9" w:rsidRDefault="009A55C9" w:rsidP="009A55C9">
      <w:pPr>
        <w:autoSpaceDE w:val="0"/>
        <w:autoSpaceDN w:val="0"/>
        <w:adjustRightInd w:val="0"/>
        <w:spacing w:after="0" w:line="240" w:lineRule="auto"/>
        <w:ind w:left="3600"/>
        <w:rPr>
          <w:rFonts w:ascii="Times New Roman" w:hAnsi="Times New Roman" w:cs="Times New Roman"/>
          <w:color w:val="212100"/>
          <w:sz w:val="24"/>
          <w:szCs w:val="24"/>
        </w:rPr>
      </w:pPr>
      <w:proofErr w:type="gramStart"/>
      <w:r>
        <w:rPr>
          <w:rFonts w:ascii="Times New Roman" w:hAnsi="Times New Roman" w:cs="Times New Roman"/>
          <w:color w:val="212100"/>
          <w:sz w:val="24"/>
          <w:szCs w:val="24"/>
        </w:rPr>
        <w:t>“ ‘Directive</w:t>
      </w:r>
      <w:proofErr w:type="gramEnd"/>
      <w:r>
        <w:rPr>
          <w:rFonts w:ascii="Times New Roman" w:hAnsi="Times New Roman" w:cs="Times New Roman"/>
          <w:color w:val="212100"/>
          <w:sz w:val="24"/>
          <w:szCs w:val="24"/>
        </w:rPr>
        <w:t xml:space="preserve"> 2011/85/EU’ means Council Directive 2011/85/EU of 8 November 2011 on requirements for budgetary frameworks of the Member States; ”,</w:t>
      </w:r>
    </w:p>
    <w:p w:rsidR="009A55C9" w:rsidRDefault="009A55C9" w:rsidP="009A55C9">
      <w:pPr>
        <w:autoSpaceDE w:val="0"/>
        <w:autoSpaceDN w:val="0"/>
        <w:adjustRightInd w:val="0"/>
        <w:spacing w:before="240" w:after="0" w:line="240" w:lineRule="auto"/>
        <w:ind w:left="1440"/>
        <w:rPr>
          <w:rFonts w:ascii="Tms Rmn" w:hAnsi="Tms Rmn" w:cs="Tms Rmn"/>
          <w:color w:val="000000"/>
          <w:sz w:val="24"/>
          <w:szCs w:val="24"/>
        </w:rPr>
      </w:pPr>
      <w:proofErr w:type="gramStart"/>
      <w:r>
        <w:rPr>
          <w:rFonts w:ascii="Times New Roman" w:hAnsi="Times New Roman" w:cs="Times New Roman"/>
          <w:color w:val="212100"/>
          <w:sz w:val="24"/>
          <w:szCs w:val="24"/>
        </w:rPr>
        <w:t>and</w:t>
      </w:r>
      <w:proofErr w:type="gramEnd"/>
      <w:r>
        <w:rPr>
          <w:rFonts w:ascii="Tms Rmn" w:hAnsi="Tms Rmn" w:cs="Tms Rmn"/>
          <w:color w:val="000000"/>
          <w:sz w:val="24"/>
          <w:szCs w:val="24"/>
        </w:rPr>
        <w:t xml:space="preserve"> </w:t>
      </w:r>
    </w:p>
    <w:p w:rsidR="009A55C9" w:rsidRDefault="009A55C9" w:rsidP="009A55C9">
      <w:pPr>
        <w:autoSpaceDE w:val="0"/>
        <w:autoSpaceDN w:val="0"/>
        <w:adjustRightInd w:val="0"/>
        <w:spacing w:before="240" w:after="0" w:line="240" w:lineRule="auto"/>
        <w:ind w:left="2160"/>
        <w:rPr>
          <w:rFonts w:ascii="Tms Rmn" w:hAnsi="Tms Rmn" w:cs="Tms Rmn"/>
          <w:color w:val="000000"/>
          <w:sz w:val="24"/>
          <w:szCs w:val="24"/>
        </w:rPr>
      </w:pPr>
      <w:r>
        <w:rPr>
          <w:rFonts w:ascii="Times New Roman" w:hAnsi="Times New Roman" w:cs="Times New Roman"/>
          <w:color w:val="000000"/>
          <w:sz w:val="24"/>
          <w:szCs w:val="24"/>
        </w:rPr>
        <w:br/>
        <w:t xml:space="preserve">(b) </w:t>
      </w:r>
      <w:proofErr w:type="gramStart"/>
      <w:r>
        <w:rPr>
          <w:rFonts w:ascii="Times New Roman" w:hAnsi="Times New Roman" w:cs="Times New Roman"/>
          <w:color w:val="212100"/>
          <w:sz w:val="24"/>
          <w:szCs w:val="24"/>
        </w:rPr>
        <w:t>by</w:t>
      </w:r>
      <w:proofErr w:type="gramEnd"/>
      <w:r>
        <w:rPr>
          <w:rFonts w:ascii="Times New Roman" w:hAnsi="Times New Roman" w:cs="Times New Roman"/>
          <w:color w:val="212100"/>
          <w:sz w:val="24"/>
          <w:szCs w:val="24"/>
        </w:rPr>
        <w:t xml:space="preserve"> inserting the following definitions after the definition of “prescribed”:</w:t>
      </w:r>
      <w:r>
        <w:rPr>
          <w:rFonts w:ascii="Tms Rmn" w:hAnsi="Tms Rmn" w:cs="Tms Rmn"/>
          <w:color w:val="000000"/>
          <w:sz w:val="24"/>
          <w:szCs w:val="24"/>
        </w:rPr>
        <w:t xml:space="preserve"> </w:t>
      </w:r>
    </w:p>
    <w:p w:rsidR="009A55C9" w:rsidRDefault="009A55C9" w:rsidP="009A55C9">
      <w:pPr>
        <w:autoSpaceDE w:val="0"/>
        <w:autoSpaceDN w:val="0"/>
        <w:adjustRightInd w:val="0"/>
        <w:spacing w:after="0" w:line="240" w:lineRule="auto"/>
        <w:ind w:left="3600"/>
        <w:rPr>
          <w:rFonts w:ascii="Times New Roman" w:hAnsi="Times New Roman" w:cs="Times New Roman"/>
          <w:color w:val="212100"/>
          <w:sz w:val="24"/>
          <w:szCs w:val="24"/>
        </w:rPr>
      </w:pPr>
      <w:proofErr w:type="gramStart"/>
      <w:r>
        <w:rPr>
          <w:rFonts w:ascii="Times New Roman" w:hAnsi="Times New Roman" w:cs="Times New Roman"/>
          <w:color w:val="212100"/>
          <w:sz w:val="24"/>
          <w:szCs w:val="24"/>
        </w:rPr>
        <w:t>“ ‘programme’</w:t>
      </w:r>
      <w:proofErr w:type="gramEnd"/>
      <w:r>
        <w:rPr>
          <w:rFonts w:ascii="Times New Roman" w:hAnsi="Times New Roman" w:cs="Times New Roman"/>
          <w:color w:val="212100"/>
          <w:sz w:val="24"/>
          <w:szCs w:val="24"/>
        </w:rPr>
        <w:t xml:space="preserve"> shall include services to be delivered within a Ministerial expenditure ceiling;”.</w:t>
      </w:r>
    </w:p>
    <w:p w:rsidR="009A55C9" w:rsidRDefault="009A55C9" w:rsidP="009A55C9">
      <w:pPr>
        <w:autoSpaceDE w:val="0"/>
        <w:autoSpaceDN w:val="0"/>
        <w:adjustRightInd w:val="0"/>
        <w:spacing w:before="240" w:after="0" w:line="240" w:lineRule="auto"/>
        <w:ind w:left="720"/>
        <w:rPr>
          <w:rFonts w:ascii="Tms Rmn" w:hAnsi="Tms Rmn" w:cs="Tms Rmn"/>
          <w:color w:val="000000"/>
          <w:sz w:val="24"/>
          <w:szCs w:val="24"/>
        </w:rPr>
      </w:pPr>
      <w:r>
        <w:rPr>
          <w:rFonts w:ascii="Times New Roman" w:hAnsi="Times New Roman" w:cs="Times New Roman"/>
          <w:i/>
          <w:iCs/>
          <w:color w:val="212100"/>
          <w:sz w:val="24"/>
          <w:szCs w:val="24"/>
        </w:rPr>
        <w:t>Ministerial Expenditure Ceiling Programme Reports</w:t>
      </w:r>
      <w:r>
        <w:rPr>
          <w:rFonts w:ascii="Tms Rmn" w:hAnsi="Tms Rmn" w:cs="Tms Rmn"/>
          <w:color w:val="000000"/>
          <w:sz w:val="24"/>
          <w:szCs w:val="24"/>
        </w:rPr>
        <w:t xml:space="preserve"> </w:t>
      </w:r>
    </w:p>
    <w:p w:rsidR="008A514C" w:rsidRPr="008A514C" w:rsidRDefault="009A55C9" w:rsidP="008A514C">
      <w:pPr>
        <w:autoSpaceDE w:val="0"/>
        <w:autoSpaceDN w:val="0"/>
        <w:adjustRightInd w:val="0"/>
        <w:spacing w:before="240" w:after="0" w:line="240" w:lineRule="auto"/>
        <w:ind w:left="720"/>
        <w:rPr>
          <w:rFonts w:ascii="Times New Roman" w:hAnsi="Times New Roman" w:cs="Times New Roman"/>
          <w:color w:val="212100"/>
          <w:sz w:val="24"/>
          <w:szCs w:val="24"/>
        </w:rPr>
      </w:pPr>
      <w:r>
        <w:rPr>
          <w:rFonts w:ascii="Times New Roman" w:hAnsi="Times New Roman" w:cs="Times New Roman"/>
          <w:color w:val="212100"/>
          <w:sz w:val="24"/>
          <w:szCs w:val="24"/>
        </w:rPr>
        <w:t>2.—</w:t>
      </w:r>
      <w:proofErr w:type="gramStart"/>
      <w:r w:rsidR="008A514C" w:rsidRPr="008A514C">
        <w:rPr>
          <w:rFonts w:ascii="Times New Roman" w:hAnsi="Times New Roman" w:cs="Times New Roman"/>
          <w:color w:val="212100"/>
          <w:sz w:val="24"/>
          <w:szCs w:val="24"/>
        </w:rPr>
        <w:t>The</w:t>
      </w:r>
      <w:proofErr w:type="gramEnd"/>
      <w:r w:rsidR="008A514C" w:rsidRPr="008A514C">
        <w:rPr>
          <w:rFonts w:ascii="Times New Roman" w:hAnsi="Times New Roman" w:cs="Times New Roman"/>
          <w:color w:val="212100"/>
          <w:sz w:val="24"/>
          <w:szCs w:val="24"/>
        </w:rPr>
        <w:t xml:space="preserve"> Ministers and Secretaries (Amendment) Act 2011 is amended as follows: </w:t>
      </w:r>
    </w:p>
    <w:p w:rsidR="008A514C" w:rsidRPr="008A514C" w:rsidRDefault="008A514C" w:rsidP="008A514C">
      <w:pPr>
        <w:autoSpaceDE w:val="0"/>
        <w:autoSpaceDN w:val="0"/>
        <w:adjustRightInd w:val="0"/>
        <w:spacing w:before="240" w:after="0" w:line="240" w:lineRule="auto"/>
        <w:ind w:left="2160"/>
        <w:rPr>
          <w:rFonts w:ascii="Times New Roman" w:hAnsi="Times New Roman" w:cs="Times New Roman"/>
          <w:color w:val="212100"/>
          <w:sz w:val="24"/>
          <w:szCs w:val="24"/>
        </w:rPr>
      </w:pPr>
      <w:r w:rsidRPr="008A514C">
        <w:rPr>
          <w:rFonts w:ascii="Times New Roman" w:hAnsi="Times New Roman" w:cs="Times New Roman"/>
          <w:color w:val="212100"/>
          <w:sz w:val="24"/>
          <w:szCs w:val="24"/>
        </w:rPr>
        <w:t xml:space="preserve">(a) in subsection (5) of section 17, by the substitution of “cause copies of a decision under subsection (2) or (3) to be laid before each House of the Oireachtas” for “inform </w:t>
      </w:r>
      <w:proofErr w:type="spellStart"/>
      <w:r w:rsidRPr="008A514C">
        <w:rPr>
          <w:rFonts w:ascii="Times New Roman" w:hAnsi="Times New Roman" w:cs="Times New Roman"/>
          <w:color w:val="212100"/>
          <w:sz w:val="24"/>
          <w:szCs w:val="24"/>
        </w:rPr>
        <w:t>Dáil</w:t>
      </w:r>
      <w:proofErr w:type="spellEnd"/>
      <w:r w:rsidRPr="008A514C">
        <w:rPr>
          <w:rFonts w:ascii="Times New Roman" w:hAnsi="Times New Roman" w:cs="Times New Roman"/>
          <w:color w:val="212100"/>
          <w:sz w:val="24"/>
          <w:szCs w:val="24"/>
        </w:rPr>
        <w:t xml:space="preserve"> </w:t>
      </w:r>
      <w:proofErr w:type="spellStart"/>
      <w:r w:rsidRPr="008A514C">
        <w:rPr>
          <w:rFonts w:ascii="Times New Roman" w:hAnsi="Times New Roman" w:cs="Times New Roman"/>
          <w:color w:val="212100"/>
          <w:sz w:val="24"/>
          <w:szCs w:val="24"/>
        </w:rPr>
        <w:t>Éireann</w:t>
      </w:r>
      <w:proofErr w:type="spellEnd"/>
      <w:r w:rsidRPr="008A514C">
        <w:rPr>
          <w:rFonts w:ascii="Times New Roman" w:hAnsi="Times New Roman" w:cs="Times New Roman"/>
          <w:color w:val="212100"/>
          <w:sz w:val="24"/>
          <w:szCs w:val="24"/>
        </w:rPr>
        <w:t xml:space="preserve"> of a decision under subsection (2) or (3)”, </w:t>
      </w:r>
    </w:p>
    <w:p w:rsidR="008A514C" w:rsidRPr="008A514C" w:rsidRDefault="008A514C" w:rsidP="008A514C">
      <w:pPr>
        <w:autoSpaceDE w:val="0"/>
        <w:autoSpaceDN w:val="0"/>
        <w:adjustRightInd w:val="0"/>
        <w:spacing w:before="240" w:after="0" w:line="240" w:lineRule="auto"/>
        <w:ind w:left="2160"/>
        <w:rPr>
          <w:rFonts w:ascii="Times New Roman" w:hAnsi="Times New Roman" w:cs="Times New Roman"/>
          <w:color w:val="212100"/>
          <w:sz w:val="24"/>
          <w:szCs w:val="24"/>
        </w:rPr>
      </w:pPr>
      <w:r w:rsidRPr="008A514C">
        <w:rPr>
          <w:rFonts w:ascii="Times New Roman" w:hAnsi="Times New Roman" w:cs="Times New Roman"/>
          <w:color w:val="212100"/>
          <w:sz w:val="24"/>
          <w:szCs w:val="24"/>
        </w:rPr>
        <w:t xml:space="preserve">(b) in subsection (8) of section 17, by the substitution of “cause copies of a decision under subsection (6) or (7) to be laid before each House of the Oireachtas” for “inform </w:t>
      </w:r>
      <w:proofErr w:type="spellStart"/>
      <w:r w:rsidRPr="008A514C">
        <w:rPr>
          <w:rFonts w:ascii="Times New Roman" w:hAnsi="Times New Roman" w:cs="Times New Roman"/>
          <w:color w:val="212100"/>
          <w:sz w:val="24"/>
          <w:szCs w:val="24"/>
        </w:rPr>
        <w:t>Dáil</w:t>
      </w:r>
      <w:proofErr w:type="spellEnd"/>
      <w:r w:rsidRPr="008A514C">
        <w:rPr>
          <w:rFonts w:ascii="Times New Roman" w:hAnsi="Times New Roman" w:cs="Times New Roman"/>
          <w:color w:val="212100"/>
          <w:sz w:val="24"/>
          <w:szCs w:val="24"/>
        </w:rPr>
        <w:t xml:space="preserve"> </w:t>
      </w:r>
      <w:proofErr w:type="spellStart"/>
      <w:r w:rsidRPr="008A514C">
        <w:rPr>
          <w:rFonts w:ascii="Times New Roman" w:hAnsi="Times New Roman" w:cs="Times New Roman"/>
          <w:color w:val="212100"/>
          <w:sz w:val="24"/>
          <w:szCs w:val="24"/>
        </w:rPr>
        <w:t>Éireann</w:t>
      </w:r>
      <w:proofErr w:type="spellEnd"/>
      <w:r w:rsidRPr="008A514C">
        <w:rPr>
          <w:rFonts w:ascii="Times New Roman" w:hAnsi="Times New Roman" w:cs="Times New Roman"/>
          <w:color w:val="212100"/>
          <w:sz w:val="24"/>
          <w:szCs w:val="24"/>
        </w:rPr>
        <w:t xml:space="preserve"> of a decision under subsection (6) or (7)”, and </w:t>
      </w:r>
    </w:p>
    <w:p w:rsidR="008A514C" w:rsidRPr="008A514C" w:rsidRDefault="008A514C" w:rsidP="008A514C">
      <w:pPr>
        <w:autoSpaceDE w:val="0"/>
        <w:autoSpaceDN w:val="0"/>
        <w:adjustRightInd w:val="0"/>
        <w:spacing w:before="240" w:after="0" w:line="240" w:lineRule="auto"/>
        <w:ind w:left="2160"/>
        <w:rPr>
          <w:rFonts w:ascii="Times New Roman" w:hAnsi="Times New Roman" w:cs="Times New Roman"/>
          <w:color w:val="212100"/>
          <w:sz w:val="24"/>
          <w:szCs w:val="24"/>
        </w:rPr>
      </w:pPr>
      <w:r w:rsidRPr="008A514C">
        <w:rPr>
          <w:rFonts w:ascii="Times New Roman" w:hAnsi="Times New Roman" w:cs="Times New Roman"/>
          <w:color w:val="212100"/>
          <w:sz w:val="24"/>
          <w:szCs w:val="24"/>
        </w:rPr>
        <w:t xml:space="preserve">(c) </w:t>
      </w:r>
      <w:proofErr w:type="gramStart"/>
      <w:r w:rsidRPr="008A514C">
        <w:rPr>
          <w:rFonts w:ascii="Times New Roman" w:hAnsi="Times New Roman" w:cs="Times New Roman"/>
          <w:color w:val="212100"/>
          <w:sz w:val="24"/>
          <w:szCs w:val="24"/>
        </w:rPr>
        <w:t>by</w:t>
      </w:r>
      <w:proofErr w:type="gramEnd"/>
      <w:r w:rsidRPr="008A514C">
        <w:rPr>
          <w:rFonts w:ascii="Times New Roman" w:hAnsi="Times New Roman" w:cs="Times New Roman"/>
          <w:color w:val="212100"/>
          <w:sz w:val="24"/>
          <w:szCs w:val="24"/>
        </w:rPr>
        <w:t xml:space="preserve"> inserting the following section after section 17A: </w:t>
      </w:r>
    </w:p>
    <w:p w:rsidR="009A55C9" w:rsidRDefault="008A514C" w:rsidP="008A514C">
      <w:pPr>
        <w:autoSpaceDE w:val="0"/>
        <w:autoSpaceDN w:val="0"/>
        <w:adjustRightInd w:val="0"/>
        <w:spacing w:before="240" w:after="0" w:line="240" w:lineRule="auto"/>
        <w:ind w:left="2160"/>
        <w:rPr>
          <w:rFonts w:ascii="Times New Roman" w:hAnsi="Times New Roman" w:cs="Times New Roman"/>
          <w:color w:val="212100"/>
          <w:sz w:val="24"/>
          <w:szCs w:val="24"/>
        </w:rPr>
      </w:pPr>
      <w:r w:rsidRPr="008A514C">
        <w:rPr>
          <w:rFonts w:ascii="Times New Roman" w:hAnsi="Times New Roman" w:cs="Times New Roman"/>
          <w:color w:val="212100"/>
          <w:sz w:val="24"/>
          <w:szCs w:val="24"/>
        </w:rPr>
        <w:t>“17B.—(1) A Government decision under secti</w:t>
      </w:r>
      <w:r>
        <w:rPr>
          <w:rFonts w:ascii="Times New Roman" w:hAnsi="Times New Roman" w:cs="Times New Roman"/>
          <w:color w:val="212100"/>
          <w:sz w:val="24"/>
          <w:szCs w:val="24"/>
        </w:rPr>
        <w:t xml:space="preserve">on 17(6) providing for a </w:t>
      </w:r>
      <w:r w:rsidR="009A55C9">
        <w:rPr>
          <w:rFonts w:ascii="Times New Roman" w:hAnsi="Times New Roman" w:cs="Times New Roman"/>
          <w:color w:val="212100"/>
          <w:sz w:val="24"/>
          <w:szCs w:val="24"/>
        </w:rPr>
        <w:t xml:space="preserve">Ministerial expenditure ceiling shall be accompanied by a report (referred to in this section as a Ministerial Expenditure Ceiling Programme Report) which shall list each programme in the area of responsibility of each Minister to be delivered in accordance with the expenditure ceiling specified in the decision. </w:t>
      </w:r>
    </w:p>
    <w:p w:rsidR="009A55C9" w:rsidRDefault="009A55C9" w:rsidP="009A55C9">
      <w:pPr>
        <w:autoSpaceDE w:val="0"/>
        <w:autoSpaceDN w:val="0"/>
        <w:adjustRightInd w:val="0"/>
        <w:spacing w:before="240" w:after="0" w:line="240" w:lineRule="auto"/>
        <w:ind w:left="2160"/>
        <w:rPr>
          <w:rFonts w:ascii="Tms Rmn" w:hAnsi="Tms Rmn" w:cs="Tms Rmn"/>
          <w:color w:val="000000"/>
          <w:sz w:val="24"/>
          <w:szCs w:val="24"/>
        </w:rPr>
      </w:pPr>
      <w:r>
        <w:rPr>
          <w:rFonts w:ascii="Times New Roman" w:hAnsi="Times New Roman" w:cs="Times New Roman"/>
          <w:color w:val="212100"/>
          <w:sz w:val="24"/>
          <w:szCs w:val="24"/>
        </w:rPr>
        <w:t>(2) The programme report shall state the cost for each programme listed in the Ministerial expenditure ceiling programme report for each of the financial years of the Ministerial expenditure ceiling.</w:t>
      </w:r>
      <w:r>
        <w:rPr>
          <w:rFonts w:ascii="Tms Rmn" w:hAnsi="Tms Rmn" w:cs="Tms Rmn"/>
          <w:color w:val="000000"/>
          <w:sz w:val="24"/>
          <w:szCs w:val="24"/>
        </w:rPr>
        <w:t xml:space="preserve"> </w:t>
      </w:r>
    </w:p>
    <w:p w:rsidR="009A55C9" w:rsidRDefault="009A55C9" w:rsidP="009A55C9">
      <w:pPr>
        <w:autoSpaceDE w:val="0"/>
        <w:autoSpaceDN w:val="0"/>
        <w:adjustRightInd w:val="0"/>
        <w:spacing w:before="240" w:after="0" w:line="240" w:lineRule="auto"/>
        <w:ind w:left="2160"/>
        <w:rPr>
          <w:rFonts w:ascii="Times New Roman" w:hAnsi="Times New Roman" w:cs="Times New Roman"/>
          <w:color w:val="212100"/>
          <w:sz w:val="24"/>
          <w:szCs w:val="24"/>
        </w:rPr>
      </w:pPr>
      <w:r>
        <w:rPr>
          <w:rFonts w:ascii="Times New Roman" w:hAnsi="Times New Roman" w:cs="Times New Roman"/>
          <w:color w:val="212100"/>
          <w:sz w:val="24"/>
          <w:szCs w:val="24"/>
        </w:rPr>
        <w:t xml:space="preserve">(3) A Ministerial expenditure ceiling programme report shall, as far as practicable, specify measurable target outcomes in respect of each programme listed. </w:t>
      </w:r>
    </w:p>
    <w:p w:rsidR="009A55C9" w:rsidRDefault="009A55C9" w:rsidP="009A55C9">
      <w:pPr>
        <w:autoSpaceDE w:val="0"/>
        <w:autoSpaceDN w:val="0"/>
        <w:adjustRightInd w:val="0"/>
        <w:spacing w:before="240" w:after="0" w:line="240" w:lineRule="auto"/>
        <w:ind w:left="2160"/>
        <w:rPr>
          <w:rFonts w:ascii="Times New Roman" w:hAnsi="Times New Roman" w:cs="Times New Roman"/>
          <w:color w:val="212100"/>
          <w:sz w:val="24"/>
          <w:szCs w:val="24"/>
        </w:rPr>
      </w:pPr>
      <w:r>
        <w:rPr>
          <w:rFonts w:ascii="Times New Roman" w:hAnsi="Times New Roman" w:cs="Times New Roman"/>
          <w:color w:val="212100"/>
          <w:sz w:val="24"/>
          <w:szCs w:val="24"/>
        </w:rPr>
        <w:lastRenderedPageBreak/>
        <w:t xml:space="preserve">(4) A Government decision under section 17(3) revising any Ministerial expenditure ceiling shall be accompanied by a revised Ministerial expenditure ceiling programme report which shall list each programme in the area of responsibility of the relevant Minister to be delivered on foot of the decision and which report shall comply with the requirements in subsection (2) and (3). </w:t>
      </w:r>
    </w:p>
    <w:p w:rsidR="009A55C9" w:rsidRDefault="00DE27AD" w:rsidP="009A55C9">
      <w:pPr>
        <w:autoSpaceDE w:val="0"/>
        <w:autoSpaceDN w:val="0"/>
        <w:adjustRightInd w:val="0"/>
        <w:spacing w:before="240" w:after="0" w:line="240" w:lineRule="auto"/>
        <w:ind w:left="2160"/>
        <w:rPr>
          <w:rFonts w:ascii="Tms Rmn" w:hAnsi="Tms Rmn" w:cs="Tms Rmn"/>
          <w:color w:val="000000"/>
          <w:sz w:val="24"/>
          <w:szCs w:val="24"/>
        </w:rPr>
      </w:pPr>
      <w:r>
        <w:rPr>
          <w:rFonts w:ascii="Times New Roman" w:hAnsi="Times New Roman" w:cs="Times New Roman"/>
          <w:color w:val="212100"/>
          <w:sz w:val="24"/>
          <w:szCs w:val="24"/>
        </w:rPr>
        <w:t>(5</w:t>
      </w:r>
      <w:r w:rsidR="009A55C9">
        <w:rPr>
          <w:rFonts w:ascii="Times New Roman" w:hAnsi="Times New Roman" w:cs="Times New Roman"/>
          <w:color w:val="212100"/>
          <w:sz w:val="24"/>
          <w:szCs w:val="24"/>
        </w:rPr>
        <w:t>) The Minister for Finance shall, on behalf of the Government, cause a copy of each Ministerial Expenditure Ceiling Programme Report to be laid before each House of the Oireachtas at the same time that copies of a decision under subsection (6) or (7) of section 17 are laid before each House of the Oireachtas.”</w:t>
      </w:r>
      <w:r w:rsidR="009A55C9">
        <w:rPr>
          <w:rFonts w:ascii="Tms Rmn" w:hAnsi="Tms Rmn" w:cs="Tms Rmn"/>
          <w:color w:val="000000"/>
          <w:sz w:val="24"/>
          <w:szCs w:val="24"/>
        </w:rPr>
        <w:t xml:space="preserve"> </w:t>
      </w:r>
    </w:p>
    <w:p w:rsidR="009A55C9" w:rsidRDefault="009A55C9" w:rsidP="009A55C9">
      <w:pPr>
        <w:autoSpaceDE w:val="0"/>
        <w:autoSpaceDN w:val="0"/>
        <w:adjustRightInd w:val="0"/>
        <w:spacing w:before="240" w:after="0" w:line="240" w:lineRule="auto"/>
        <w:ind w:left="720"/>
        <w:rPr>
          <w:rFonts w:ascii="Tms Rmn" w:hAnsi="Tms Rmn" w:cs="Tms Rmn"/>
          <w:color w:val="000000"/>
          <w:sz w:val="24"/>
          <w:szCs w:val="24"/>
        </w:rPr>
      </w:pPr>
      <w:r>
        <w:rPr>
          <w:rFonts w:ascii="Times New Roman" w:hAnsi="Times New Roman" w:cs="Times New Roman"/>
          <w:i/>
          <w:iCs/>
          <w:color w:val="212100"/>
          <w:sz w:val="24"/>
          <w:szCs w:val="24"/>
        </w:rPr>
        <w:t>Statement of Fiscal Risks</w:t>
      </w:r>
      <w:r>
        <w:rPr>
          <w:rFonts w:ascii="Tms Rmn" w:hAnsi="Tms Rmn" w:cs="Tms Rmn"/>
          <w:color w:val="000000"/>
          <w:sz w:val="24"/>
          <w:szCs w:val="24"/>
        </w:rPr>
        <w:t xml:space="preserve"> </w:t>
      </w:r>
    </w:p>
    <w:p w:rsidR="009A55C9" w:rsidRDefault="009A55C9" w:rsidP="009A55C9">
      <w:pPr>
        <w:autoSpaceDE w:val="0"/>
        <w:autoSpaceDN w:val="0"/>
        <w:adjustRightInd w:val="0"/>
        <w:spacing w:before="240" w:after="0" w:line="240" w:lineRule="auto"/>
        <w:ind w:left="720"/>
        <w:rPr>
          <w:rFonts w:ascii="Tms Rmn" w:hAnsi="Tms Rmn" w:cs="Tms Rmn"/>
          <w:color w:val="000000"/>
          <w:sz w:val="24"/>
          <w:szCs w:val="24"/>
        </w:rPr>
      </w:pPr>
      <w:r>
        <w:rPr>
          <w:rFonts w:ascii="Times New Roman" w:hAnsi="Times New Roman" w:cs="Times New Roman"/>
          <w:color w:val="212100"/>
          <w:sz w:val="24"/>
          <w:szCs w:val="24"/>
        </w:rPr>
        <w:t>3.—</w:t>
      </w:r>
      <w:proofErr w:type="gramStart"/>
      <w:r>
        <w:rPr>
          <w:rFonts w:ascii="Times New Roman" w:hAnsi="Times New Roman" w:cs="Times New Roman"/>
          <w:color w:val="212100"/>
          <w:sz w:val="24"/>
          <w:szCs w:val="24"/>
        </w:rPr>
        <w:t>The</w:t>
      </w:r>
      <w:proofErr w:type="gramEnd"/>
      <w:r>
        <w:rPr>
          <w:rFonts w:ascii="Times New Roman" w:hAnsi="Times New Roman" w:cs="Times New Roman"/>
          <w:color w:val="212100"/>
          <w:sz w:val="24"/>
          <w:szCs w:val="24"/>
        </w:rPr>
        <w:t xml:space="preserve"> Ministers and Secretaries (Amendment) Act 2011 is amended by inserting the following section after section 17B:</w:t>
      </w:r>
      <w:r>
        <w:rPr>
          <w:rFonts w:ascii="Tms Rmn" w:hAnsi="Tms Rmn" w:cs="Tms Rmn"/>
          <w:color w:val="000000"/>
          <w:sz w:val="24"/>
          <w:szCs w:val="24"/>
        </w:rPr>
        <w:t xml:space="preserve"> </w:t>
      </w:r>
    </w:p>
    <w:p w:rsidR="009A55C9" w:rsidRDefault="009A55C9" w:rsidP="009A55C9">
      <w:pPr>
        <w:autoSpaceDE w:val="0"/>
        <w:autoSpaceDN w:val="0"/>
        <w:adjustRightInd w:val="0"/>
        <w:spacing w:before="240" w:after="0" w:line="240" w:lineRule="auto"/>
        <w:ind w:left="2160"/>
        <w:rPr>
          <w:rFonts w:ascii="Tms Rmn" w:hAnsi="Tms Rmn" w:cs="Tms Rmn"/>
          <w:color w:val="000000"/>
          <w:sz w:val="24"/>
          <w:szCs w:val="24"/>
        </w:rPr>
      </w:pPr>
      <w:r>
        <w:rPr>
          <w:rFonts w:ascii="Times New Roman" w:hAnsi="Times New Roman" w:cs="Times New Roman"/>
          <w:color w:val="212100"/>
          <w:sz w:val="24"/>
          <w:szCs w:val="24"/>
        </w:rPr>
        <w:t>“17C.—(1) The Minister shall prepare an annual statement, to be known as the statement of fiscal risks</w:t>
      </w:r>
      <w:r>
        <w:rPr>
          <w:rFonts w:ascii="Times New Roman" w:hAnsi="Times New Roman" w:cs="Times New Roman"/>
          <w:b/>
          <w:bCs/>
          <w:color w:val="212100"/>
          <w:sz w:val="24"/>
          <w:szCs w:val="24"/>
        </w:rPr>
        <w:t>.</w:t>
      </w:r>
      <w:r>
        <w:rPr>
          <w:rFonts w:ascii="Tms Rmn" w:hAnsi="Tms Rmn" w:cs="Tms Rmn"/>
          <w:color w:val="000000"/>
          <w:sz w:val="24"/>
          <w:szCs w:val="24"/>
        </w:rPr>
        <w:t xml:space="preserve"> </w:t>
      </w:r>
    </w:p>
    <w:p w:rsidR="009A55C9" w:rsidRDefault="009A55C9" w:rsidP="009A55C9">
      <w:pPr>
        <w:autoSpaceDE w:val="0"/>
        <w:autoSpaceDN w:val="0"/>
        <w:adjustRightInd w:val="0"/>
        <w:spacing w:before="240" w:after="0" w:line="240" w:lineRule="auto"/>
        <w:ind w:left="2160"/>
        <w:rPr>
          <w:rFonts w:ascii="Times New Roman" w:hAnsi="Times New Roman" w:cs="Times New Roman"/>
          <w:color w:val="212100"/>
          <w:sz w:val="24"/>
          <w:szCs w:val="24"/>
        </w:rPr>
      </w:pPr>
      <w:r>
        <w:rPr>
          <w:rFonts w:ascii="Times New Roman" w:hAnsi="Times New Roman" w:cs="Times New Roman"/>
          <w:color w:val="212100"/>
          <w:sz w:val="24"/>
          <w:szCs w:val="24"/>
        </w:rPr>
        <w:t>(2) The Minister for Finance shall cause a copy of the statement of fiscal risks to be laid before each House of the Oireachtas on or before the 1</w:t>
      </w:r>
      <w:r>
        <w:rPr>
          <w:rFonts w:ascii="Times New Roman" w:hAnsi="Times New Roman" w:cs="Times New Roman"/>
          <w:color w:val="212100"/>
          <w:sz w:val="24"/>
          <w:szCs w:val="24"/>
          <w:vertAlign w:val="superscript"/>
        </w:rPr>
        <w:t>st</w:t>
      </w:r>
      <w:r>
        <w:rPr>
          <w:rFonts w:ascii="Times New Roman" w:hAnsi="Times New Roman" w:cs="Times New Roman"/>
          <w:color w:val="212100"/>
          <w:sz w:val="24"/>
          <w:szCs w:val="24"/>
        </w:rPr>
        <w:t xml:space="preserve"> of June of each year. </w:t>
      </w:r>
    </w:p>
    <w:p w:rsidR="009A55C9" w:rsidRDefault="009A55C9" w:rsidP="009A55C9">
      <w:pPr>
        <w:autoSpaceDE w:val="0"/>
        <w:autoSpaceDN w:val="0"/>
        <w:adjustRightInd w:val="0"/>
        <w:spacing w:before="240" w:after="0" w:line="240" w:lineRule="auto"/>
        <w:ind w:left="2160"/>
        <w:rPr>
          <w:rFonts w:ascii="Times New Roman" w:hAnsi="Times New Roman" w:cs="Times New Roman"/>
          <w:color w:val="212100"/>
          <w:sz w:val="24"/>
          <w:szCs w:val="24"/>
        </w:rPr>
      </w:pPr>
      <w:r>
        <w:rPr>
          <w:rFonts w:ascii="Times New Roman" w:hAnsi="Times New Roman" w:cs="Times New Roman"/>
          <w:color w:val="212100"/>
          <w:sz w:val="24"/>
          <w:szCs w:val="24"/>
        </w:rPr>
        <w:t xml:space="preserve">(3) The statement of fiscal risks shall include a report on the: </w:t>
      </w:r>
    </w:p>
    <w:p w:rsidR="009A55C9" w:rsidRDefault="009A55C9" w:rsidP="009A55C9">
      <w:pPr>
        <w:autoSpaceDE w:val="0"/>
        <w:autoSpaceDN w:val="0"/>
        <w:adjustRightInd w:val="0"/>
        <w:spacing w:before="240" w:after="0" w:line="240" w:lineRule="auto"/>
        <w:ind w:left="2160"/>
        <w:rPr>
          <w:rFonts w:ascii="Tms Rmn" w:hAnsi="Tms Rmn" w:cs="Tms Rmn"/>
          <w:color w:val="000000"/>
          <w:sz w:val="24"/>
          <w:szCs w:val="24"/>
        </w:rPr>
      </w:pPr>
      <w:r>
        <w:rPr>
          <w:rFonts w:ascii="Times New Roman" w:hAnsi="Times New Roman" w:cs="Times New Roman"/>
          <w:color w:val="212100"/>
          <w:sz w:val="24"/>
          <w:szCs w:val="24"/>
        </w:rPr>
        <w:t>(a) macro-economic conditions of the State,</w:t>
      </w:r>
      <w:r>
        <w:rPr>
          <w:rFonts w:ascii="Tms Rmn" w:hAnsi="Tms Rmn" w:cs="Tms Rmn"/>
          <w:color w:val="000000"/>
          <w:sz w:val="24"/>
          <w:szCs w:val="24"/>
        </w:rPr>
        <w:t xml:space="preserve"> </w:t>
      </w:r>
    </w:p>
    <w:p w:rsidR="009A55C9" w:rsidRDefault="009A55C9" w:rsidP="009A55C9">
      <w:pPr>
        <w:autoSpaceDE w:val="0"/>
        <w:autoSpaceDN w:val="0"/>
        <w:adjustRightInd w:val="0"/>
        <w:spacing w:before="240" w:after="0" w:line="240" w:lineRule="auto"/>
        <w:ind w:left="2160"/>
        <w:rPr>
          <w:rFonts w:ascii="Tms Rmn" w:hAnsi="Tms Rmn" w:cs="Tms Rmn"/>
          <w:color w:val="000000"/>
          <w:sz w:val="24"/>
          <w:szCs w:val="24"/>
        </w:rPr>
      </w:pPr>
      <w:r>
        <w:rPr>
          <w:rFonts w:ascii="Times New Roman" w:hAnsi="Times New Roman" w:cs="Times New Roman"/>
          <w:color w:val="212100"/>
          <w:sz w:val="24"/>
          <w:szCs w:val="24"/>
        </w:rPr>
        <w:t xml:space="preserve">(b) </w:t>
      </w:r>
      <w:proofErr w:type="gramStart"/>
      <w:r>
        <w:rPr>
          <w:rFonts w:ascii="Times New Roman" w:hAnsi="Times New Roman" w:cs="Times New Roman"/>
          <w:color w:val="212100"/>
          <w:sz w:val="24"/>
          <w:szCs w:val="24"/>
        </w:rPr>
        <w:t>exposure</w:t>
      </w:r>
      <w:proofErr w:type="gramEnd"/>
      <w:r>
        <w:rPr>
          <w:rFonts w:ascii="Times New Roman" w:hAnsi="Times New Roman" w:cs="Times New Roman"/>
          <w:color w:val="212100"/>
          <w:sz w:val="24"/>
          <w:szCs w:val="24"/>
        </w:rPr>
        <w:t xml:space="preserve"> to the State of the financial sector,</w:t>
      </w:r>
      <w:r>
        <w:rPr>
          <w:rFonts w:ascii="Tms Rmn" w:hAnsi="Tms Rmn" w:cs="Tms Rmn"/>
          <w:color w:val="000000"/>
          <w:sz w:val="24"/>
          <w:szCs w:val="24"/>
        </w:rPr>
        <w:t xml:space="preserve"> </w:t>
      </w:r>
    </w:p>
    <w:p w:rsidR="009A55C9" w:rsidRDefault="009A55C9" w:rsidP="009A55C9">
      <w:pPr>
        <w:autoSpaceDE w:val="0"/>
        <w:autoSpaceDN w:val="0"/>
        <w:adjustRightInd w:val="0"/>
        <w:spacing w:before="240" w:after="0" w:line="240" w:lineRule="auto"/>
        <w:ind w:left="2160"/>
        <w:rPr>
          <w:rFonts w:ascii="Tms Rmn" w:hAnsi="Tms Rmn" w:cs="Tms Rmn"/>
          <w:color w:val="000000"/>
          <w:sz w:val="24"/>
          <w:szCs w:val="24"/>
        </w:rPr>
      </w:pPr>
      <w:r>
        <w:rPr>
          <w:rFonts w:ascii="Times New Roman" w:hAnsi="Times New Roman" w:cs="Times New Roman"/>
          <w:color w:val="212100"/>
          <w:sz w:val="24"/>
          <w:szCs w:val="24"/>
        </w:rPr>
        <w:t xml:space="preserve">(c) </w:t>
      </w:r>
      <w:proofErr w:type="gramStart"/>
      <w:r>
        <w:rPr>
          <w:rFonts w:ascii="Times New Roman" w:hAnsi="Times New Roman" w:cs="Times New Roman"/>
          <w:color w:val="212100"/>
          <w:sz w:val="24"/>
          <w:szCs w:val="24"/>
        </w:rPr>
        <w:t>contingent</w:t>
      </w:r>
      <w:proofErr w:type="gramEnd"/>
      <w:r>
        <w:rPr>
          <w:rFonts w:ascii="Times New Roman" w:hAnsi="Times New Roman" w:cs="Times New Roman"/>
          <w:color w:val="212100"/>
          <w:sz w:val="24"/>
          <w:szCs w:val="24"/>
        </w:rPr>
        <w:t xml:space="preserve"> liabilities of the State,</w:t>
      </w:r>
      <w:r>
        <w:rPr>
          <w:rFonts w:ascii="Tms Rmn" w:hAnsi="Tms Rmn" w:cs="Tms Rmn"/>
          <w:color w:val="000000"/>
          <w:sz w:val="24"/>
          <w:szCs w:val="24"/>
        </w:rPr>
        <w:t xml:space="preserve"> </w:t>
      </w:r>
    </w:p>
    <w:p w:rsidR="009A55C9" w:rsidRDefault="009A55C9" w:rsidP="009A55C9">
      <w:pPr>
        <w:autoSpaceDE w:val="0"/>
        <w:autoSpaceDN w:val="0"/>
        <w:adjustRightInd w:val="0"/>
        <w:spacing w:before="240" w:after="0" w:line="240" w:lineRule="auto"/>
        <w:ind w:left="2160"/>
        <w:rPr>
          <w:rFonts w:ascii="Tms Rmn" w:hAnsi="Tms Rmn" w:cs="Tms Rmn"/>
          <w:color w:val="000000"/>
          <w:sz w:val="24"/>
          <w:szCs w:val="24"/>
        </w:rPr>
      </w:pPr>
      <w:r>
        <w:rPr>
          <w:rFonts w:ascii="Times New Roman" w:hAnsi="Times New Roman" w:cs="Times New Roman"/>
          <w:color w:val="212100"/>
          <w:sz w:val="24"/>
          <w:szCs w:val="24"/>
        </w:rPr>
        <w:t xml:space="preserve">(d) </w:t>
      </w:r>
      <w:proofErr w:type="gramStart"/>
      <w:r>
        <w:rPr>
          <w:rFonts w:ascii="Times New Roman" w:hAnsi="Times New Roman" w:cs="Times New Roman"/>
          <w:color w:val="212100"/>
          <w:sz w:val="24"/>
          <w:szCs w:val="24"/>
        </w:rPr>
        <w:t>specific</w:t>
      </w:r>
      <w:proofErr w:type="gramEnd"/>
      <w:r>
        <w:rPr>
          <w:rFonts w:ascii="Times New Roman" w:hAnsi="Times New Roman" w:cs="Times New Roman"/>
          <w:color w:val="212100"/>
          <w:sz w:val="24"/>
          <w:szCs w:val="24"/>
        </w:rPr>
        <w:t xml:space="preserve"> revenue risks to the State,</w:t>
      </w:r>
      <w:r>
        <w:rPr>
          <w:rFonts w:ascii="Tms Rmn" w:hAnsi="Tms Rmn" w:cs="Tms Rmn"/>
          <w:color w:val="000000"/>
          <w:sz w:val="24"/>
          <w:szCs w:val="24"/>
        </w:rPr>
        <w:t xml:space="preserve"> </w:t>
      </w:r>
    </w:p>
    <w:p w:rsidR="009A55C9" w:rsidRDefault="009A55C9" w:rsidP="009A55C9">
      <w:pPr>
        <w:autoSpaceDE w:val="0"/>
        <w:autoSpaceDN w:val="0"/>
        <w:adjustRightInd w:val="0"/>
        <w:spacing w:before="240" w:after="0" w:line="240" w:lineRule="auto"/>
        <w:ind w:left="2160"/>
        <w:rPr>
          <w:rFonts w:ascii="Tms Rmn" w:hAnsi="Tms Rmn" w:cs="Tms Rmn"/>
          <w:color w:val="000000"/>
          <w:sz w:val="24"/>
          <w:szCs w:val="24"/>
        </w:rPr>
      </w:pPr>
      <w:r>
        <w:rPr>
          <w:rFonts w:ascii="Times New Roman" w:hAnsi="Times New Roman" w:cs="Times New Roman"/>
          <w:color w:val="212100"/>
          <w:sz w:val="24"/>
          <w:szCs w:val="24"/>
        </w:rPr>
        <w:t xml:space="preserve">(e) </w:t>
      </w:r>
      <w:proofErr w:type="gramStart"/>
      <w:r>
        <w:rPr>
          <w:rFonts w:ascii="Times New Roman" w:hAnsi="Times New Roman" w:cs="Times New Roman"/>
          <w:color w:val="212100"/>
          <w:sz w:val="24"/>
          <w:szCs w:val="24"/>
        </w:rPr>
        <w:t>assets</w:t>
      </w:r>
      <w:proofErr w:type="gramEnd"/>
      <w:r>
        <w:rPr>
          <w:rFonts w:ascii="Times New Roman" w:hAnsi="Times New Roman" w:cs="Times New Roman"/>
          <w:color w:val="212100"/>
          <w:sz w:val="24"/>
          <w:szCs w:val="24"/>
        </w:rPr>
        <w:t xml:space="preserve"> and liabilities including pension liabilities of the State, and</w:t>
      </w:r>
      <w:r>
        <w:rPr>
          <w:rFonts w:ascii="Tms Rmn" w:hAnsi="Tms Rmn" w:cs="Tms Rmn"/>
          <w:color w:val="000000"/>
          <w:sz w:val="24"/>
          <w:szCs w:val="24"/>
        </w:rPr>
        <w:t xml:space="preserve"> </w:t>
      </w:r>
    </w:p>
    <w:p w:rsidR="009A55C9" w:rsidRDefault="009A55C9" w:rsidP="009A55C9">
      <w:pPr>
        <w:autoSpaceDE w:val="0"/>
        <w:autoSpaceDN w:val="0"/>
        <w:adjustRightInd w:val="0"/>
        <w:spacing w:before="240" w:after="0" w:line="240" w:lineRule="auto"/>
        <w:ind w:left="2160"/>
        <w:rPr>
          <w:rFonts w:ascii="Tms Rmn" w:hAnsi="Tms Rmn" w:cs="Tms Rmn"/>
          <w:color w:val="000000"/>
          <w:sz w:val="24"/>
          <w:szCs w:val="24"/>
        </w:rPr>
      </w:pPr>
      <w:r>
        <w:rPr>
          <w:rFonts w:ascii="Times New Roman" w:hAnsi="Times New Roman" w:cs="Times New Roman"/>
          <w:color w:val="212100"/>
          <w:sz w:val="24"/>
          <w:szCs w:val="24"/>
        </w:rPr>
        <w:t>(g) Government strategy for mitigating the risks identified in the statement of fiscal risks to the extent possible, and</w:t>
      </w:r>
      <w:r>
        <w:rPr>
          <w:rFonts w:ascii="Tms Rmn" w:hAnsi="Tms Rmn" w:cs="Tms Rmn"/>
          <w:color w:val="000000"/>
          <w:sz w:val="24"/>
          <w:szCs w:val="24"/>
        </w:rPr>
        <w:t xml:space="preserve"> </w:t>
      </w:r>
    </w:p>
    <w:p w:rsidR="009A55C9" w:rsidRDefault="009A55C9" w:rsidP="009A55C9">
      <w:pPr>
        <w:autoSpaceDE w:val="0"/>
        <w:autoSpaceDN w:val="0"/>
        <w:adjustRightInd w:val="0"/>
        <w:spacing w:before="240" w:after="0" w:line="240" w:lineRule="auto"/>
        <w:ind w:left="2160"/>
        <w:rPr>
          <w:rFonts w:ascii="Tms Rmn" w:hAnsi="Tms Rmn" w:cs="Tms Rmn"/>
          <w:color w:val="000000"/>
          <w:sz w:val="24"/>
          <w:szCs w:val="24"/>
        </w:rPr>
      </w:pPr>
      <w:r>
        <w:rPr>
          <w:rFonts w:ascii="Times New Roman" w:hAnsi="Times New Roman" w:cs="Times New Roman"/>
          <w:color w:val="212100"/>
          <w:sz w:val="24"/>
          <w:szCs w:val="24"/>
        </w:rPr>
        <w:t xml:space="preserve">(h) </w:t>
      </w:r>
      <w:proofErr w:type="gramStart"/>
      <w:r>
        <w:rPr>
          <w:rFonts w:ascii="Times New Roman" w:hAnsi="Times New Roman" w:cs="Times New Roman"/>
          <w:color w:val="212100"/>
          <w:sz w:val="24"/>
          <w:szCs w:val="24"/>
        </w:rPr>
        <w:t>any</w:t>
      </w:r>
      <w:proofErr w:type="gramEnd"/>
      <w:r>
        <w:rPr>
          <w:rFonts w:ascii="Times New Roman" w:hAnsi="Times New Roman" w:cs="Times New Roman"/>
          <w:color w:val="212100"/>
          <w:sz w:val="24"/>
          <w:szCs w:val="24"/>
        </w:rPr>
        <w:t xml:space="preserve"> other significant financial risks or liabilities of the State.</w:t>
      </w:r>
      <w:r>
        <w:rPr>
          <w:rFonts w:ascii="Tms Rmn" w:hAnsi="Tms Rmn" w:cs="Tms Rmn"/>
          <w:color w:val="000000"/>
          <w:sz w:val="24"/>
          <w:szCs w:val="24"/>
        </w:rPr>
        <w:t xml:space="preserve"> </w:t>
      </w:r>
    </w:p>
    <w:p w:rsidR="009A55C9" w:rsidRDefault="009A55C9" w:rsidP="009A55C9">
      <w:pPr>
        <w:autoSpaceDE w:val="0"/>
        <w:autoSpaceDN w:val="0"/>
        <w:adjustRightInd w:val="0"/>
        <w:spacing w:before="240" w:after="0" w:line="240" w:lineRule="auto"/>
        <w:ind w:left="2160"/>
        <w:rPr>
          <w:rFonts w:ascii="Times New Roman" w:hAnsi="Times New Roman" w:cs="Times New Roman"/>
          <w:color w:val="212100"/>
          <w:sz w:val="24"/>
          <w:szCs w:val="24"/>
        </w:rPr>
      </w:pPr>
      <w:r>
        <w:rPr>
          <w:rFonts w:ascii="Times New Roman" w:hAnsi="Times New Roman" w:cs="Times New Roman"/>
          <w:color w:val="212100"/>
          <w:sz w:val="24"/>
          <w:szCs w:val="24"/>
        </w:rPr>
        <w:t xml:space="preserve">(4) In subsection 3:- </w:t>
      </w:r>
    </w:p>
    <w:p w:rsidR="009A55C9" w:rsidRDefault="009A55C9" w:rsidP="009A55C9">
      <w:pPr>
        <w:autoSpaceDE w:val="0"/>
        <w:autoSpaceDN w:val="0"/>
        <w:adjustRightInd w:val="0"/>
        <w:spacing w:before="240" w:after="0" w:line="240" w:lineRule="auto"/>
        <w:ind w:left="2160"/>
        <w:rPr>
          <w:rFonts w:ascii="Times New Roman" w:hAnsi="Times New Roman" w:cs="Times New Roman"/>
          <w:color w:val="212100"/>
          <w:sz w:val="24"/>
          <w:szCs w:val="24"/>
        </w:rPr>
      </w:pPr>
      <w:r>
        <w:rPr>
          <w:rFonts w:ascii="Times New Roman" w:hAnsi="Times New Roman" w:cs="Times New Roman"/>
          <w:color w:val="212100"/>
          <w:sz w:val="24"/>
          <w:szCs w:val="24"/>
        </w:rPr>
        <w:t>“</w:t>
      </w:r>
      <w:proofErr w:type="gramStart"/>
      <w:r>
        <w:rPr>
          <w:rFonts w:ascii="Times New Roman" w:hAnsi="Times New Roman" w:cs="Times New Roman"/>
          <w:color w:val="212100"/>
          <w:sz w:val="24"/>
          <w:szCs w:val="24"/>
        </w:rPr>
        <w:t>the</w:t>
      </w:r>
      <w:proofErr w:type="gramEnd"/>
      <w:r>
        <w:rPr>
          <w:rFonts w:ascii="Times New Roman" w:hAnsi="Times New Roman" w:cs="Times New Roman"/>
          <w:color w:val="212100"/>
          <w:sz w:val="24"/>
          <w:szCs w:val="24"/>
        </w:rPr>
        <w:t xml:space="preserve"> exposure to the State of the Financial Sector” shall include reference to fiscal risks associated with the financial sector and contingent liabilities related to the financial sector; </w:t>
      </w:r>
    </w:p>
    <w:p w:rsidR="009A55C9" w:rsidRDefault="009A55C9" w:rsidP="009A55C9">
      <w:pPr>
        <w:autoSpaceDE w:val="0"/>
        <w:autoSpaceDN w:val="0"/>
        <w:adjustRightInd w:val="0"/>
        <w:spacing w:before="240" w:after="0" w:line="240" w:lineRule="auto"/>
        <w:ind w:left="2160"/>
        <w:rPr>
          <w:rFonts w:ascii="Tms Rmn" w:hAnsi="Tms Rmn" w:cs="Tms Rmn"/>
          <w:color w:val="000000"/>
          <w:sz w:val="24"/>
          <w:szCs w:val="24"/>
        </w:rPr>
      </w:pPr>
      <w:r>
        <w:rPr>
          <w:rFonts w:ascii="Times New Roman" w:hAnsi="Times New Roman" w:cs="Times New Roman"/>
          <w:color w:val="212100"/>
          <w:sz w:val="24"/>
          <w:szCs w:val="24"/>
        </w:rPr>
        <w:t xml:space="preserve">“contingent liabilities” shall include the contingent liabilities falling within the scope of Article 14(3) of the Directive 2011/85/EU and shall include contingent liabilities arising from guarantees schemes in sectors other than the financial sector, litigation involving Government </w:t>
      </w:r>
      <w:r>
        <w:rPr>
          <w:rFonts w:ascii="Times New Roman" w:hAnsi="Times New Roman" w:cs="Times New Roman"/>
          <w:color w:val="212100"/>
          <w:sz w:val="24"/>
          <w:szCs w:val="24"/>
        </w:rPr>
        <w:lastRenderedPageBreak/>
        <w:t>or a public service body, callable capital and minimum-revenue guarantees for toll roads and their operators;</w:t>
      </w:r>
      <w:r>
        <w:rPr>
          <w:rFonts w:ascii="Tms Rmn" w:hAnsi="Tms Rmn" w:cs="Tms Rmn"/>
          <w:color w:val="000000"/>
          <w:sz w:val="24"/>
          <w:szCs w:val="24"/>
        </w:rPr>
        <w:t xml:space="preserve"> </w:t>
      </w:r>
    </w:p>
    <w:p w:rsidR="009A55C9" w:rsidRDefault="009A55C9" w:rsidP="009A55C9">
      <w:pPr>
        <w:autoSpaceDE w:val="0"/>
        <w:autoSpaceDN w:val="0"/>
        <w:adjustRightInd w:val="0"/>
        <w:spacing w:before="240" w:after="0" w:line="240" w:lineRule="auto"/>
        <w:ind w:left="2160"/>
        <w:rPr>
          <w:rFonts w:ascii="Tms Rmn" w:hAnsi="Tms Rmn" w:cs="Tms Rmn"/>
          <w:color w:val="000000"/>
          <w:sz w:val="24"/>
          <w:szCs w:val="24"/>
        </w:rPr>
      </w:pPr>
      <w:r>
        <w:rPr>
          <w:rFonts w:ascii="Times New Roman" w:hAnsi="Times New Roman" w:cs="Times New Roman"/>
          <w:color w:val="212100"/>
          <w:sz w:val="24"/>
          <w:szCs w:val="24"/>
        </w:rPr>
        <w:t>“</w:t>
      </w:r>
      <w:proofErr w:type="gramStart"/>
      <w:r>
        <w:rPr>
          <w:rFonts w:ascii="Times New Roman" w:hAnsi="Times New Roman" w:cs="Times New Roman"/>
          <w:color w:val="212100"/>
          <w:sz w:val="24"/>
          <w:szCs w:val="24"/>
        </w:rPr>
        <w:t>specific</w:t>
      </w:r>
      <w:proofErr w:type="gramEnd"/>
      <w:r>
        <w:rPr>
          <w:rFonts w:ascii="Times New Roman" w:hAnsi="Times New Roman" w:cs="Times New Roman"/>
          <w:color w:val="212100"/>
          <w:sz w:val="24"/>
          <w:szCs w:val="24"/>
        </w:rPr>
        <w:t xml:space="preserve"> revenue risks” shall include reference to any risks to revenue other than those incorporated in the macroeconomic analysis;</w:t>
      </w:r>
      <w:r>
        <w:rPr>
          <w:rFonts w:ascii="Tms Rmn" w:hAnsi="Tms Rmn" w:cs="Tms Rmn"/>
          <w:color w:val="000000"/>
          <w:sz w:val="24"/>
          <w:szCs w:val="24"/>
        </w:rPr>
        <w:t xml:space="preserve"> </w:t>
      </w:r>
    </w:p>
    <w:p w:rsidR="009A55C9" w:rsidRDefault="009A55C9" w:rsidP="009A55C9">
      <w:pPr>
        <w:autoSpaceDE w:val="0"/>
        <w:autoSpaceDN w:val="0"/>
        <w:adjustRightInd w:val="0"/>
        <w:spacing w:before="240" w:after="0" w:line="240" w:lineRule="auto"/>
        <w:ind w:left="2160"/>
        <w:rPr>
          <w:rFonts w:ascii="Times New Roman" w:hAnsi="Times New Roman" w:cs="Times New Roman"/>
          <w:color w:val="212100"/>
          <w:sz w:val="24"/>
          <w:szCs w:val="24"/>
        </w:rPr>
      </w:pPr>
      <w:r>
        <w:rPr>
          <w:rFonts w:ascii="Times New Roman" w:hAnsi="Times New Roman" w:cs="Times New Roman"/>
          <w:color w:val="212100"/>
          <w:sz w:val="24"/>
          <w:szCs w:val="24"/>
        </w:rPr>
        <w:t>“</w:t>
      </w:r>
      <w:proofErr w:type="gramStart"/>
      <w:r>
        <w:rPr>
          <w:rFonts w:ascii="Times New Roman" w:hAnsi="Times New Roman" w:cs="Times New Roman"/>
          <w:color w:val="212100"/>
          <w:sz w:val="24"/>
          <w:szCs w:val="24"/>
        </w:rPr>
        <w:t>assets</w:t>
      </w:r>
      <w:proofErr w:type="gramEnd"/>
      <w:r>
        <w:rPr>
          <w:rFonts w:ascii="Times New Roman" w:hAnsi="Times New Roman" w:cs="Times New Roman"/>
          <w:color w:val="212100"/>
          <w:sz w:val="24"/>
          <w:szCs w:val="24"/>
        </w:rPr>
        <w:t xml:space="preserve"> and liabilities” shall include reference to risks related to values of, and cash flows associated with, the State’s assets and liabilities, including the National Treasury Management Agency debt, the National Pensions Reserve Fund assets, derivatives shares in banks, shares in nonfinancial enterprises, public-service pension liabilities and public private partnership assets and liabilities.</w:t>
      </w:r>
    </w:p>
    <w:p w:rsidR="009A55C9" w:rsidRDefault="009A55C9" w:rsidP="009A55C9">
      <w:pPr>
        <w:autoSpaceDE w:val="0"/>
        <w:autoSpaceDN w:val="0"/>
        <w:adjustRightInd w:val="0"/>
        <w:spacing w:before="240" w:after="0" w:line="240" w:lineRule="auto"/>
        <w:ind w:left="720"/>
        <w:rPr>
          <w:rFonts w:ascii="Times New Roman" w:hAnsi="Times New Roman" w:cs="Times New Roman"/>
          <w:i/>
          <w:iCs/>
          <w:color w:val="212100"/>
          <w:sz w:val="24"/>
          <w:szCs w:val="24"/>
        </w:rPr>
      </w:pPr>
      <w:r>
        <w:rPr>
          <w:rFonts w:ascii="Times New Roman" w:hAnsi="Times New Roman" w:cs="Times New Roman"/>
          <w:i/>
          <w:iCs/>
          <w:color w:val="212100"/>
          <w:sz w:val="24"/>
          <w:szCs w:val="24"/>
        </w:rPr>
        <w:t xml:space="preserve">Transparency </w:t>
      </w:r>
    </w:p>
    <w:p w:rsidR="009A55C9" w:rsidRDefault="009A55C9" w:rsidP="009A55C9">
      <w:pPr>
        <w:autoSpaceDE w:val="0"/>
        <w:autoSpaceDN w:val="0"/>
        <w:adjustRightInd w:val="0"/>
        <w:spacing w:before="240" w:after="0" w:line="240" w:lineRule="auto"/>
        <w:ind w:left="720"/>
        <w:rPr>
          <w:rFonts w:ascii="Tms Rmn" w:hAnsi="Tms Rmn" w:cs="Tms Rmn"/>
          <w:color w:val="000000"/>
          <w:sz w:val="24"/>
          <w:szCs w:val="24"/>
        </w:rPr>
      </w:pPr>
      <w:r>
        <w:rPr>
          <w:rFonts w:ascii="Times New Roman" w:hAnsi="Times New Roman" w:cs="Times New Roman"/>
          <w:color w:val="212100"/>
          <w:sz w:val="24"/>
          <w:szCs w:val="24"/>
        </w:rPr>
        <w:t>4. —(1) The Statement and Ministerial Expenditure Ceiling Programme Report shall utilize language that is comprehensible and appropriate to the subject in so far as is practicable,</w:t>
      </w:r>
      <w:r>
        <w:rPr>
          <w:rFonts w:ascii="Tms Rmn" w:hAnsi="Tms Rmn" w:cs="Tms Rmn"/>
          <w:color w:val="000000"/>
          <w:sz w:val="24"/>
          <w:szCs w:val="24"/>
        </w:rPr>
        <w:t xml:space="preserve"> </w:t>
      </w:r>
    </w:p>
    <w:p w:rsidR="009A55C9" w:rsidRDefault="009A55C9" w:rsidP="009A55C9">
      <w:pPr>
        <w:autoSpaceDE w:val="0"/>
        <w:autoSpaceDN w:val="0"/>
        <w:adjustRightInd w:val="0"/>
        <w:spacing w:before="240" w:after="0" w:line="240" w:lineRule="auto"/>
        <w:ind w:left="720"/>
        <w:rPr>
          <w:rFonts w:ascii="Tms Rmn" w:hAnsi="Tms Rmn" w:cs="Tms Rmn"/>
          <w:color w:val="000000"/>
          <w:sz w:val="24"/>
          <w:szCs w:val="24"/>
        </w:rPr>
      </w:pPr>
      <w:r>
        <w:rPr>
          <w:rFonts w:ascii="Times New Roman" w:hAnsi="Times New Roman" w:cs="Times New Roman"/>
          <w:color w:val="212100"/>
          <w:sz w:val="24"/>
          <w:szCs w:val="24"/>
        </w:rPr>
        <w:t>(2) The purpose of this section is to promote transparency in and accountability of the Government to the public and to the members of the Oireachtas by promoting comprehensible Government communications prepared for the public and members of the Oireachtas.</w:t>
      </w:r>
      <w:r>
        <w:rPr>
          <w:rFonts w:ascii="Tms Rmn" w:hAnsi="Tms Rmn" w:cs="Tms Rmn"/>
          <w:color w:val="000000"/>
          <w:sz w:val="24"/>
          <w:szCs w:val="24"/>
        </w:rPr>
        <w:t xml:space="preserve"> </w:t>
      </w:r>
    </w:p>
    <w:p w:rsidR="009A55C9" w:rsidRDefault="009A55C9" w:rsidP="009A55C9">
      <w:pPr>
        <w:autoSpaceDE w:val="0"/>
        <w:autoSpaceDN w:val="0"/>
        <w:adjustRightInd w:val="0"/>
        <w:spacing w:before="240" w:after="0" w:line="240" w:lineRule="auto"/>
        <w:ind w:left="720"/>
        <w:rPr>
          <w:rFonts w:ascii="Tms Rmn" w:hAnsi="Tms Rmn" w:cs="Tms Rmn"/>
          <w:color w:val="000000"/>
          <w:sz w:val="24"/>
          <w:szCs w:val="24"/>
        </w:rPr>
      </w:pPr>
      <w:proofErr w:type="gramStart"/>
      <w:r>
        <w:rPr>
          <w:rFonts w:ascii="Times New Roman" w:hAnsi="Times New Roman" w:cs="Times New Roman"/>
          <w:i/>
          <w:iCs/>
          <w:color w:val="212100"/>
          <w:sz w:val="24"/>
          <w:szCs w:val="24"/>
        </w:rPr>
        <w:t>Short title, commencement and collective citation.</w:t>
      </w:r>
      <w:proofErr w:type="gramEnd"/>
      <w:r>
        <w:rPr>
          <w:rFonts w:ascii="Tms Rmn" w:hAnsi="Tms Rmn" w:cs="Tms Rmn"/>
          <w:color w:val="000000"/>
          <w:sz w:val="24"/>
          <w:szCs w:val="24"/>
        </w:rPr>
        <w:t xml:space="preserve"> </w:t>
      </w:r>
    </w:p>
    <w:p w:rsidR="009A55C9" w:rsidRDefault="009A55C9" w:rsidP="009A55C9">
      <w:pPr>
        <w:autoSpaceDE w:val="0"/>
        <w:autoSpaceDN w:val="0"/>
        <w:adjustRightInd w:val="0"/>
        <w:spacing w:before="240" w:after="0" w:line="240" w:lineRule="auto"/>
        <w:ind w:left="720"/>
        <w:rPr>
          <w:rFonts w:ascii="Tms Rmn" w:hAnsi="Tms Rmn" w:cs="Tms Rmn"/>
          <w:color w:val="000000"/>
          <w:sz w:val="24"/>
          <w:szCs w:val="24"/>
        </w:rPr>
      </w:pPr>
      <w:r>
        <w:rPr>
          <w:rFonts w:ascii="Times New Roman" w:hAnsi="Times New Roman" w:cs="Times New Roman"/>
          <w:color w:val="212100"/>
          <w:sz w:val="24"/>
          <w:szCs w:val="24"/>
        </w:rPr>
        <w:t>5.—(1) This Act may be cited as the Ministers and Secretaries (Amendment) Act 2014.</w:t>
      </w:r>
      <w:r>
        <w:rPr>
          <w:rFonts w:ascii="Tms Rmn" w:hAnsi="Tms Rmn" w:cs="Tms Rmn"/>
          <w:color w:val="000000"/>
          <w:sz w:val="24"/>
          <w:szCs w:val="24"/>
        </w:rPr>
        <w:t xml:space="preserve"> </w:t>
      </w:r>
    </w:p>
    <w:p w:rsidR="009A55C9" w:rsidRDefault="009A55C9" w:rsidP="009A55C9">
      <w:pPr>
        <w:autoSpaceDE w:val="0"/>
        <w:autoSpaceDN w:val="0"/>
        <w:adjustRightInd w:val="0"/>
        <w:spacing w:before="240" w:after="0" w:line="240" w:lineRule="auto"/>
        <w:ind w:left="720"/>
        <w:rPr>
          <w:rFonts w:ascii="Times New Roman" w:hAnsi="Times New Roman" w:cs="Times New Roman"/>
          <w:color w:val="212100"/>
          <w:sz w:val="24"/>
          <w:szCs w:val="24"/>
        </w:rPr>
      </w:pPr>
      <w:r>
        <w:rPr>
          <w:rFonts w:ascii="Times New Roman" w:hAnsi="Times New Roman" w:cs="Times New Roman"/>
          <w:color w:val="212100"/>
          <w:sz w:val="24"/>
          <w:szCs w:val="24"/>
        </w:rPr>
        <w:t>(2) This Act shall come in to operation on such day as the Minister for Finance may appoint by order.</w:t>
      </w:r>
    </w:p>
    <w:p w:rsidR="009A55C9" w:rsidRDefault="009A55C9" w:rsidP="009A55C9">
      <w:pPr>
        <w:autoSpaceDE w:val="0"/>
        <w:autoSpaceDN w:val="0"/>
        <w:adjustRightInd w:val="0"/>
        <w:spacing w:before="240" w:after="0" w:line="240" w:lineRule="auto"/>
        <w:ind w:left="720"/>
        <w:jc w:val="center"/>
        <w:rPr>
          <w:rFonts w:ascii="Tms Rmn" w:hAnsi="Tms Rmn" w:cs="Tms Rmn"/>
          <w:color w:val="000000"/>
          <w:sz w:val="28"/>
          <w:szCs w:val="28"/>
        </w:rPr>
      </w:pPr>
      <w:r>
        <w:rPr>
          <w:rFonts w:ascii="Tms Rmn" w:hAnsi="Tms Rmn" w:cs="Tms Rmn"/>
          <w:color w:val="000000"/>
          <w:sz w:val="24"/>
          <w:szCs w:val="24"/>
        </w:rPr>
        <w:br/>
      </w:r>
      <w:r>
        <w:rPr>
          <w:rFonts w:ascii="Tms Rmn" w:hAnsi="Tms Rmn" w:cs="Tms Rmn"/>
          <w:color w:val="000000"/>
          <w:sz w:val="24"/>
          <w:szCs w:val="24"/>
        </w:rPr>
        <w:br/>
      </w:r>
      <w:r>
        <w:rPr>
          <w:rFonts w:ascii="Tms Rmn" w:hAnsi="Tms Rmn" w:cs="Tms Rmn"/>
          <w:color w:val="000000"/>
          <w:sz w:val="24"/>
          <w:szCs w:val="24"/>
        </w:rPr>
        <w:br/>
      </w:r>
      <w:r>
        <w:rPr>
          <w:rFonts w:ascii="Tms Rmn" w:hAnsi="Tms Rmn" w:cs="Tms Rmn"/>
          <w:color w:val="000000"/>
          <w:sz w:val="24"/>
          <w:szCs w:val="24"/>
        </w:rPr>
        <w:br/>
      </w:r>
      <w:r>
        <w:rPr>
          <w:rFonts w:ascii="Tms Rmn" w:hAnsi="Tms Rmn" w:cs="Tms Rmn"/>
          <w:color w:val="000000"/>
          <w:sz w:val="24"/>
          <w:szCs w:val="24"/>
        </w:rPr>
        <w:br/>
      </w:r>
      <w:r>
        <w:rPr>
          <w:rFonts w:ascii="Tms Rmn" w:hAnsi="Tms Rmn" w:cs="Tms Rmn"/>
          <w:color w:val="000000"/>
          <w:sz w:val="24"/>
          <w:szCs w:val="24"/>
        </w:rPr>
        <w:br/>
      </w:r>
      <w:r>
        <w:rPr>
          <w:rFonts w:ascii="Tms Rmn" w:hAnsi="Tms Rmn" w:cs="Tms Rmn"/>
          <w:color w:val="000000"/>
          <w:sz w:val="24"/>
          <w:szCs w:val="24"/>
        </w:rPr>
        <w:br/>
      </w:r>
      <w:r>
        <w:rPr>
          <w:rFonts w:ascii="Tms Rmn" w:hAnsi="Tms Rmn" w:cs="Tms Rmn"/>
          <w:color w:val="000000"/>
          <w:sz w:val="24"/>
          <w:szCs w:val="24"/>
        </w:rPr>
        <w:br/>
      </w:r>
      <w:r>
        <w:rPr>
          <w:rFonts w:ascii="Tms Rmn" w:hAnsi="Tms Rmn" w:cs="Tms Rmn"/>
          <w:color w:val="000000"/>
          <w:sz w:val="24"/>
          <w:szCs w:val="24"/>
        </w:rPr>
        <w:br/>
      </w:r>
      <w:r>
        <w:rPr>
          <w:rFonts w:ascii="Tms Rmn" w:hAnsi="Tms Rmn" w:cs="Tms Rmn"/>
          <w:color w:val="000000"/>
          <w:sz w:val="24"/>
          <w:szCs w:val="24"/>
        </w:rPr>
        <w:br/>
      </w:r>
      <w:r>
        <w:rPr>
          <w:rFonts w:ascii="Tms Rmn" w:hAnsi="Tms Rmn" w:cs="Tms Rmn"/>
          <w:color w:val="000000"/>
          <w:sz w:val="24"/>
          <w:szCs w:val="24"/>
        </w:rPr>
        <w:br/>
      </w:r>
    </w:p>
    <w:p w:rsidR="009A55C9" w:rsidRDefault="009A55C9" w:rsidP="009A55C9"/>
    <w:p w:rsidR="00995BCE" w:rsidRDefault="00995BCE"/>
    <w:sectPr w:rsidR="00995B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5C9"/>
    <w:rsid w:val="003203DB"/>
    <w:rsid w:val="003965F2"/>
    <w:rsid w:val="008A514C"/>
    <w:rsid w:val="009574D6"/>
    <w:rsid w:val="00995BCE"/>
    <w:rsid w:val="009A55C9"/>
    <w:rsid w:val="00A74D44"/>
    <w:rsid w:val="00AB3C31"/>
    <w:rsid w:val="00DE27A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5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5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969</Words>
  <Characters>5527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Fidelma Eames</dc:creator>
  <cp:lastModifiedBy>Fidelma Eames</cp:lastModifiedBy>
  <cp:revision>2</cp:revision>
  <dcterms:created xsi:type="dcterms:W3CDTF">2014-05-29T11:35:00Z</dcterms:created>
  <dcterms:modified xsi:type="dcterms:W3CDTF">2014-05-29T11:35:00Z</dcterms:modified>
</cp:coreProperties>
</file>